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4D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 w:rsidRPr="00477C3F">
        <w:rPr>
          <w:b/>
          <w:bCs/>
          <w:color w:val="DA0A00"/>
          <w:sz w:val="36"/>
          <w:szCs w:val="36"/>
        </w:rPr>
        <w:t xml:space="preserve">Městská část Praha-Kunratice vyhlašuje výběrové řízení </w:t>
      </w:r>
    </w:p>
    <w:p w:rsidR="00477C3F" w:rsidRPr="003A628C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28"/>
          <w:szCs w:val="28"/>
        </w:rPr>
      </w:pPr>
      <w:r w:rsidRPr="003A628C">
        <w:rPr>
          <w:b/>
          <w:bCs/>
          <w:color w:val="DA0A00"/>
          <w:sz w:val="28"/>
          <w:szCs w:val="28"/>
        </w:rPr>
        <w:t xml:space="preserve">na </w:t>
      </w:r>
      <w:r w:rsidRPr="000E754D">
        <w:rPr>
          <w:b/>
          <w:bCs/>
          <w:color w:val="FF0000"/>
          <w:sz w:val="28"/>
          <w:szCs w:val="28"/>
        </w:rPr>
        <w:t xml:space="preserve">obsazení pracovního místa – </w:t>
      </w:r>
      <w:r w:rsidR="0003189F">
        <w:rPr>
          <w:b/>
          <w:bCs/>
          <w:color w:val="FF0000"/>
          <w:sz w:val="28"/>
          <w:szCs w:val="28"/>
        </w:rPr>
        <w:t>Investiční r</w:t>
      </w:r>
      <w:r w:rsidR="000E754D" w:rsidRPr="000E754D">
        <w:rPr>
          <w:rStyle w:val="Siln"/>
          <w:color w:val="FF0000"/>
          <w:sz w:val="28"/>
          <w:szCs w:val="28"/>
        </w:rPr>
        <w:t>eferent</w:t>
      </w:r>
      <w:r w:rsidR="0003189F">
        <w:rPr>
          <w:rStyle w:val="Siln"/>
          <w:color w:val="FF0000"/>
          <w:sz w:val="28"/>
          <w:szCs w:val="28"/>
        </w:rPr>
        <w:t>/</w:t>
      </w:r>
      <w:proofErr w:type="spellStart"/>
      <w:r w:rsidR="0003189F">
        <w:rPr>
          <w:rStyle w:val="Siln"/>
          <w:color w:val="FF0000"/>
          <w:sz w:val="28"/>
          <w:szCs w:val="28"/>
        </w:rPr>
        <w:t>ka</w:t>
      </w:r>
      <w:proofErr w:type="spellEnd"/>
      <w:r w:rsidR="0003189F">
        <w:rPr>
          <w:rStyle w:val="Siln"/>
          <w:color w:val="FF0000"/>
          <w:sz w:val="28"/>
          <w:szCs w:val="28"/>
        </w:rPr>
        <w:t xml:space="preserve"> na úseku dopravy</w:t>
      </w:r>
      <w:bookmarkStart w:id="0" w:name="_GoBack"/>
      <w:bookmarkEnd w:id="0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7564"/>
      </w:tblGrid>
      <w:tr w:rsidR="00477C3F" w:rsidRPr="00477C3F" w:rsidTr="009338B5">
        <w:trPr>
          <w:trHeight w:val="96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Pr="009338B5" w:rsidRDefault="00991036" w:rsidP="009338B5">
            <w:pPr>
              <w:pStyle w:val="Nadpis2"/>
              <w:spacing w:before="0" w:beforeAutospacing="0" w:after="0" w:afterAutospacing="0"/>
              <w:rPr>
                <w:caps/>
                <w:sz w:val="18"/>
                <w:szCs w:val="18"/>
              </w:rPr>
            </w:pPr>
          </w:p>
          <w:p w:rsidR="00477C3F" w:rsidRPr="00477C3F" w:rsidRDefault="00477C3F" w:rsidP="009338B5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</w:p>
          <w:p w:rsidR="00477C3F" w:rsidRPr="00477C3F" w:rsidRDefault="00477C3F" w:rsidP="009338B5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adpis2"/>
              <w:rPr>
                <w:sz w:val="24"/>
                <w:szCs w:val="24"/>
              </w:rPr>
            </w:pPr>
            <w:r w:rsidRPr="00477C3F">
              <w:rPr>
                <w:sz w:val="24"/>
                <w:szCs w:val="24"/>
              </w:rPr>
              <w:t xml:space="preserve">Městská část Praha </w:t>
            </w:r>
            <w:r>
              <w:rPr>
                <w:sz w:val="24"/>
                <w:szCs w:val="24"/>
              </w:rPr>
              <w:t>– Kunratice - Ú</w:t>
            </w:r>
            <w:r w:rsidRPr="00477C3F">
              <w:rPr>
                <w:sz w:val="24"/>
                <w:szCs w:val="24"/>
              </w:rPr>
              <w:t xml:space="preserve">řad </w:t>
            </w:r>
            <w:r>
              <w:rPr>
                <w:sz w:val="24"/>
                <w:szCs w:val="24"/>
              </w:rPr>
              <w:t>M</w:t>
            </w:r>
            <w:r w:rsidRPr="00477C3F">
              <w:rPr>
                <w:sz w:val="24"/>
                <w:szCs w:val="24"/>
              </w:rPr>
              <w:t>ěstské části Praha</w:t>
            </w:r>
            <w:r>
              <w:rPr>
                <w:sz w:val="24"/>
                <w:szCs w:val="24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9338B5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zastoupen</w:t>
            </w:r>
            <w:r w:rsidR="009338B5">
              <w:rPr>
                <w:color w:val="000000"/>
              </w:rPr>
              <w:t>á</w:t>
            </w:r>
            <w:r w:rsidRPr="00477C3F">
              <w:rPr>
                <w:color w:val="000000"/>
              </w:rPr>
              <w:t xml:space="preserve"> tajemnicí Úřadu městské části Praha</w:t>
            </w:r>
            <w:r>
              <w:rPr>
                <w:color w:val="000000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372502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proofErr w:type="gramStart"/>
            <w:r w:rsidR="00372502">
              <w:rPr>
                <w:color w:val="000000"/>
              </w:rPr>
              <w:t>7.9.2017</w:t>
            </w:r>
            <w:proofErr w:type="gramEnd"/>
            <w:r w:rsidRPr="00477C3F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Default="003A628C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</w:rPr>
              <w:t xml:space="preserve">Referent/referentka </w:t>
            </w:r>
            <w:proofErr w:type="spellStart"/>
            <w:r>
              <w:rPr>
                <w:rStyle w:val="Siln"/>
                <w:color w:val="000000"/>
              </w:rPr>
              <w:t>hospodářskosprávního</w:t>
            </w:r>
            <w:proofErr w:type="spellEnd"/>
            <w:r>
              <w:rPr>
                <w:rStyle w:val="Siln"/>
                <w:color w:val="000000"/>
              </w:rPr>
              <w:t xml:space="preserve"> odboru – </w:t>
            </w:r>
            <w:r w:rsidR="00201B75">
              <w:rPr>
                <w:rStyle w:val="Siln"/>
                <w:color w:val="000000"/>
              </w:rPr>
              <w:t>Investiční r</w:t>
            </w:r>
            <w:r w:rsidR="00634D9D">
              <w:rPr>
                <w:rStyle w:val="Siln"/>
                <w:color w:val="000000"/>
              </w:rPr>
              <w:t xml:space="preserve">eferent </w:t>
            </w:r>
            <w:r w:rsidR="00372502">
              <w:rPr>
                <w:rStyle w:val="Siln"/>
                <w:color w:val="000000"/>
              </w:rPr>
              <w:t xml:space="preserve">na úseku </w:t>
            </w:r>
            <w:r w:rsidR="00201B75">
              <w:rPr>
                <w:rStyle w:val="Siln"/>
                <w:color w:val="000000"/>
              </w:rPr>
              <w:t>d</w:t>
            </w:r>
            <w:r w:rsidR="00372502">
              <w:rPr>
                <w:rStyle w:val="Siln"/>
                <w:color w:val="000000"/>
              </w:rPr>
              <w:t>opravy</w:t>
            </w:r>
            <w:r>
              <w:rPr>
                <w:rStyle w:val="Siln"/>
                <w:color w:val="000000"/>
              </w:rPr>
              <w:t xml:space="preserve"> </w:t>
            </w:r>
          </w:p>
          <w:p w:rsidR="00C23875" w:rsidRPr="0012213F" w:rsidRDefault="00C23875" w:rsidP="00372502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477C3F">
              <w:rPr>
                <w:color w:val="000000"/>
              </w:rPr>
              <w:t xml:space="preserve">se zařazením do Úřadu městské části </w:t>
            </w:r>
            <w:proofErr w:type="gramStart"/>
            <w:r w:rsidRPr="00477C3F">
              <w:rPr>
                <w:color w:val="000000"/>
              </w:rPr>
              <w:t>Praha</w:t>
            </w:r>
            <w:r>
              <w:rPr>
                <w:color w:val="000000"/>
              </w:rPr>
              <w:t xml:space="preserve"> 4-Kunratice</w:t>
            </w:r>
            <w:proofErr w:type="gramEnd"/>
            <w:r w:rsidRPr="00477C3F">
              <w:rPr>
                <w:color w:val="000000"/>
              </w:rPr>
              <w:t>, s místem výkonu práce Praha</w:t>
            </w:r>
            <w:r w:rsidR="00372502">
              <w:rPr>
                <w:color w:val="000000"/>
              </w:rPr>
              <w:t>-Kunratice</w:t>
            </w:r>
            <w:r w:rsidRPr="00477C3F">
              <w:rPr>
                <w:color w:val="000000"/>
              </w:rPr>
              <w:t xml:space="preserve">, v platové třídě </w:t>
            </w:r>
            <w:r w:rsidR="00372502">
              <w:rPr>
                <w:color w:val="000000"/>
              </w:rPr>
              <w:t>10</w:t>
            </w:r>
            <w:r w:rsidRPr="00477C3F">
              <w:rPr>
                <w:color w:val="000000"/>
              </w:rPr>
              <w:t xml:space="preserve"> dle katalogu prací NV č. 222/2010 Sb., v platném znění a NV č. 74/2009 Sb., o platových poměrech zaměstnanců</w:t>
            </w:r>
            <w:r>
              <w:rPr>
                <w:color w:val="000000"/>
              </w:rPr>
              <w:t xml:space="preserve"> ve veřejných službách a správě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C75DC9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>po vyhodnocení výběrového řízení dle dohody, předpoklad</w:t>
            </w:r>
          </w:p>
          <w:p w:rsidR="0012213F" w:rsidRPr="00C75DC9" w:rsidRDefault="0012213F" w:rsidP="0012213F">
            <w:pPr>
              <w:ind w:left="2124" w:firstLine="708"/>
              <w:rPr>
                <w:b/>
              </w:rPr>
            </w:pPr>
            <w:r w:rsidRPr="00C75DC9">
              <w:rPr>
                <w:b/>
              </w:rPr>
              <w:t>k</w:t>
            </w:r>
            <w:r w:rsidR="00372502">
              <w:rPr>
                <w:b/>
              </w:rPr>
              <w:t> </w:t>
            </w:r>
            <w:proofErr w:type="gramStart"/>
            <w:r w:rsidR="00372502">
              <w:rPr>
                <w:b/>
              </w:rPr>
              <w:t>1.11.2017</w:t>
            </w:r>
            <w:proofErr w:type="gramEnd"/>
          </w:p>
          <w:p w:rsidR="0012213F" w:rsidRDefault="0012213F" w:rsidP="0012213F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>Pracovní poměr na dobu neurčitou</w:t>
            </w:r>
            <w:r>
              <w:rPr>
                <w:b/>
              </w:rPr>
              <w:t xml:space="preserve"> s 3 měsíční zkušební dobou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>
              <w:t>Pracovní úvazek: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329F7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329F7">
              <w:rPr>
                <w:rStyle w:val="Siln"/>
                <w:color w:val="000000"/>
              </w:rPr>
              <w:t>Sjednaný druh práce</w:t>
            </w:r>
            <w:r w:rsidRPr="004329F7">
              <w:rPr>
                <w:color w:val="000000"/>
              </w:rPr>
              <w:t xml:space="preserve">: </w:t>
            </w:r>
          </w:p>
          <w:p w:rsidR="004329F7" w:rsidRPr="004329F7" w:rsidRDefault="004329F7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Zajišťuje realizaci investičních akcí včetně dozorování průběhu realizace investic, výběr a koordinace dodavatelů a jiných účastníků stavby, přebírá práce, zajišťuje přípravu, uzavírání a provádí změny smluv, prověřuje a zjišťuje úplnost investiční dokumentace a zpracovává zápisy a protokoly o předání staveb, zajišťuje odstranění nedostatků v průběhu jejich realizace. Průběžně kontroluje čerpání finančních prostředků z rozpočtu. Provádí technickoekonomické hodnocení efektivnosti investic včetně návrhů opatření na změny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 xml:space="preserve">Zajišťuje přípravu, zadávání a kontrolu veřejných zakázek malého rozsahu 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Spolupracuje a připravuje podklady pro uskutečnění výběrového řízení tak, aby byl naplněn zákon o veřejných zakázkách.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Zodpovídá za věcnou a odbornou správnost vymezení předmětu zakázky, za účelné, efektivní a hospodárné vynaložení finančních prostředků za zakázku.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Zabezpečuje předprojektovou a projektovou přípravu staveb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Spolupracuje s pracovníkem fondů EU při přípravě a realizaci projektů v oblasti fondů a komunitního plánování v MČ.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Vede seznam všech investičních akcí v rámci svého referátu financovaných městskou částí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Po dokončení investičních akcí a po kolaudaci zajišťuje převod investic protokolárně do hmotného investičního majetku.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Po dokončení a převzetí stavby archivuje podklady pro vzetí stavby do majetku MČ a podklady předá majetkové účetní.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Koordinuje přidělování práce odsouzeným v rámci výkonu obecně prospěšných prací.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Zajišťuje provoz a údržbu technického vybavení a nářadí pro údržbáře.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lastRenderedPageBreak/>
              <w:t>Aktivně vyhledává užívání veřejného prostranství a nepovolené zvláštní užívání místních komunikací.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Provádí terénní činnosti, provádí místní šetření v oblasti dopravy.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 xml:space="preserve">Zajišťuje koordinaci přípravy investičních akcí liniových staveb – prováděných v místních komunikacích jinými investory na </w:t>
            </w:r>
            <w:proofErr w:type="spellStart"/>
            <w:proofErr w:type="gramStart"/>
            <w:r w:rsidRPr="004329F7">
              <w:rPr>
                <w:rFonts w:ascii="Times New Roman" w:hAnsi="Times New Roman" w:cs="Times New Roman"/>
                <w:szCs w:val="24"/>
              </w:rPr>
              <w:t>k.ú</w:t>
            </w:r>
            <w:proofErr w:type="spellEnd"/>
            <w:r w:rsidRPr="004329F7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4329F7">
              <w:rPr>
                <w:rFonts w:ascii="Times New Roman" w:hAnsi="Times New Roman" w:cs="Times New Roman"/>
                <w:szCs w:val="24"/>
              </w:rPr>
              <w:t xml:space="preserve"> MČ. 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Připravuje podklady pro silniční správní úřad, podklady pro povolování vjezdů a předkládá návrhy k dopravnímu režimu na místních komunikacích.</w:t>
            </w:r>
            <w:r w:rsidRPr="004329F7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 xml:space="preserve">Sleduje stavebně-technický stav komunikací ve správě MČ, zajišťuje sezónní údržbu komunikací a chodníků, osazování a obnovu dopravního značení. 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Vede evidenci o nákupu a spotřebě PHM za úřad, starostu</w:t>
            </w:r>
            <w:r>
              <w:rPr>
                <w:rFonts w:ascii="Times New Roman" w:hAnsi="Times New Roman" w:cs="Times New Roman"/>
                <w:szCs w:val="24"/>
              </w:rPr>
              <w:t xml:space="preserve"> a</w:t>
            </w:r>
            <w:r w:rsidRPr="004329F7">
              <w:rPr>
                <w:rFonts w:ascii="Times New Roman" w:hAnsi="Times New Roman" w:cs="Times New Roman"/>
                <w:szCs w:val="24"/>
              </w:rPr>
              <w:t xml:space="preserve"> JSDH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4329F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Vede agendu spojenou se zajištěním provozuschopnosti Jednotek sboru dobrovolných hasičů.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 xml:space="preserve">Kontroluje včasnost placení místních poplatků v rámci svého referátu. 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 xml:space="preserve">Připravuje v mezích své působnosti rozhodnutí o odvoláních, žádostech příp. mimořádných opravných prostředcích u daní a místních poplatků. </w:t>
            </w:r>
          </w:p>
          <w:p w:rsidR="004329F7" w:rsidRPr="004329F7" w:rsidRDefault="004329F7" w:rsidP="004329F7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Kompletně zajišťuje likvidace pojistných událostí na úseku dopravy.</w:t>
            </w:r>
            <w:r w:rsidRPr="004329F7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634D9D" w:rsidRPr="004329F7" w:rsidRDefault="004329F7" w:rsidP="00634D9D">
            <w:pPr>
              <w:numPr>
                <w:ilvl w:val="0"/>
                <w:numId w:val="7"/>
              </w:numPr>
              <w:jc w:val="both"/>
            </w:pPr>
            <w:r>
              <w:t xml:space="preserve">Řeší ve spolupráci s Městskou policií problematiku </w:t>
            </w:r>
            <w:r w:rsidR="00634D9D" w:rsidRPr="004329F7">
              <w:t>autovraků včetně zajištění fotodokumentace přestupků.</w:t>
            </w:r>
          </w:p>
          <w:p w:rsidR="00634D9D" w:rsidRPr="004329F7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Spolupracuje se starostou a zástupcem starosty na výkonu agendy MA21.</w:t>
            </w:r>
          </w:p>
          <w:p w:rsidR="00634D9D" w:rsidRPr="004329F7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>Připravuje v mezích své působnosti rozhodnutí o odvoláních, žádostech příp. mimořádných opravných prostředcích u daní a místních poplatků.</w:t>
            </w:r>
          </w:p>
          <w:p w:rsidR="00634D9D" w:rsidRPr="004329F7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 xml:space="preserve">Zajišťuje věcnou i finanční kontrolu předkládaných faktur dle svého referátu </w:t>
            </w:r>
          </w:p>
          <w:p w:rsidR="00634D9D" w:rsidRPr="004329F7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329F7">
              <w:rPr>
                <w:rFonts w:ascii="Times New Roman" w:hAnsi="Times New Roman" w:cs="Times New Roman"/>
                <w:szCs w:val="24"/>
              </w:rPr>
              <w:t xml:space="preserve">Zajišťuje styk s občany - reaguje a řeší podněty, stížnosti a petice občanů i právnických osob dotýkající se oblasti </w:t>
            </w:r>
            <w:r w:rsidR="006330B8">
              <w:rPr>
                <w:rFonts w:ascii="Times New Roman" w:hAnsi="Times New Roman" w:cs="Times New Roman"/>
                <w:szCs w:val="24"/>
              </w:rPr>
              <w:t>komunikací.</w:t>
            </w:r>
          </w:p>
          <w:p w:rsidR="00477C3F" w:rsidRPr="004329F7" w:rsidRDefault="00477C3F" w:rsidP="006330B8">
            <w:pPr>
              <w:pStyle w:val="Zkladntext"/>
              <w:ind w:left="22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77C3F" w:rsidRPr="00477C3F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329F7" w:rsidRDefault="00477C3F">
            <w:pPr>
              <w:pStyle w:val="Normlnweb"/>
              <w:rPr>
                <w:color w:val="000000"/>
              </w:rPr>
            </w:pPr>
            <w:r w:rsidRPr="004329F7">
              <w:rPr>
                <w:rStyle w:val="Siln"/>
                <w:color w:val="000000"/>
              </w:rPr>
              <w:lastRenderedPageBreak/>
              <w:t>Požadavky</w:t>
            </w:r>
            <w:r w:rsidRPr="004329F7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Pr="004329F7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329F7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4329F7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329F7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4329F7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329F7">
              <w:rPr>
                <w:rStyle w:val="Siln"/>
                <w:color w:val="000000"/>
              </w:rPr>
              <w:t>způsobilost k právním úkonům,</w:t>
            </w:r>
          </w:p>
          <w:p w:rsidR="00477C3F" w:rsidRPr="004329F7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4329F7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Pr="004329F7" w:rsidRDefault="00A05DB6">
            <w:pPr>
              <w:pStyle w:val="Normlnweb"/>
              <w:rPr>
                <w:color w:val="000000"/>
              </w:rPr>
            </w:pPr>
            <w:r w:rsidRPr="004329F7">
              <w:rPr>
                <w:b/>
                <w:color w:val="000000"/>
              </w:rPr>
              <w:t>Požadované vzdělání:</w:t>
            </w:r>
            <w:r w:rsidRPr="004329F7">
              <w:rPr>
                <w:color w:val="000000"/>
              </w:rPr>
              <w:t xml:space="preserve"> </w:t>
            </w:r>
            <w:r w:rsidR="006330B8">
              <w:rPr>
                <w:color w:val="000000"/>
              </w:rPr>
              <w:t>vysokoškolské vzdělání v bakalářském studijním programu nebo vyšší odborné vzdělání</w:t>
            </w:r>
            <w:r w:rsidR="00477C3F" w:rsidRPr="004329F7">
              <w:rPr>
                <w:color w:val="000000"/>
              </w:rPr>
              <w:t> </w:t>
            </w:r>
          </w:p>
          <w:p w:rsidR="00477C3F" w:rsidRPr="004329F7" w:rsidRDefault="00477C3F">
            <w:pPr>
              <w:pStyle w:val="Normlnweb"/>
              <w:rPr>
                <w:color w:val="000000"/>
              </w:rPr>
            </w:pPr>
            <w:r w:rsidRPr="004329F7">
              <w:rPr>
                <w:rStyle w:val="Siln"/>
                <w:color w:val="000000"/>
              </w:rPr>
              <w:t>Další požadavky:</w:t>
            </w:r>
          </w:p>
        </w:tc>
      </w:tr>
      <w:tr w:rsidR="009749DB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českého jazyka</w:t>
            </w:r>
          </w:p>
          <w:p w:rsidR="00477C3F" w:rsidRPr="0012213F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i/>
                <w:color w:val="000000"/>
              </w:rPr>
              <w:t>vítána</w:t>
            </w:r>
            <w:r w:rsidR="00477C3F" w:rsidRPr="00991036">
              <w:rPr>
                <w:i/>
                <w:color w:val="000000"/>
              </w:rPr>
              <w:t xml:space="preserve"> </w:t>
            </w:r>
            <w:r w:rsidR="00477C3F" w:rsidRPr="00991036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12213F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12213F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634D9D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rStyle w:val="Zdraznn"/>
                <w:color w:val="000000"/>
              </w:rPr>
              <w:t>ŘP skupiny B</w:t>
            </w:r>
            <w:r w:rsidR="00C23875">
              <w:rPr>
                <w:rStyle w:val="Zdraznn"/>
                <w:color w:val="000000"/>
              </w:rPr>
              <w:t xml:space="preserve"> podmínkou</w:t>
            </w:r>
          </w:p>
          <w:p w:rsidR="00634D9D" w:rsidRPr="00634D9D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634D9D">
              <w:rPr>
                <w:i/>
              </w:rPr>
              <w:t>vykonaná zkouška ZOZ v oboru vítána</w:t>
            </w:r>
          </w:p>
          <w:p w:rsidR="00477C3F" w:rsidRPr="00634D9D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rStyle w:val="Zdraznn"/>
                <w:color w:val="000000"/>
              </w:rPr>
              <w:t>ochota dále se vzdělávat</w:t>
            </w:r>
            <w:r w:rsidR="00477C3F" w:rsidRPr="00477C3F">
              <w:rPr>
                <w:color w:val="000000"/>
              </w:rPr>
              <w:t> </w:t>
            </w:r>
          </w:p>
          <w:p w:rsidR="00634D9D" w:rsidRPr="00634D9D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634D9D">
              <w:rPr>
                <w:i/>
              </w:rPr>
              <w:lastRenderedPageBreak/>
              <w:t>praxe v rozpočtové organizaci, státní správě či samosprávě výhodou</w:t>
            </w:r>
          </w:p>
          <w:p w:rsidR="00634D9D" w:rsidRPr="000E754D" w:rsidRDefault="00634D9D" w:rsidP="009749DB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634D9D">
              <w:rPr>
                <w:i/>
              </w:rPr>
              <w:t xml:space="preserve">základní orientace v zákonech č. </w:t>
            </w:r>
            <w:r w:rsidR="009749DB">
              <w:rPr>
                <w:i/>
              </w:rPr>
              <w:t xml:space="preserve">183/2006 Sb. stavební zákon, 13/1997 Sb., o pozemních komunikacích a zák. č. 361/2000 Sb. o provozu na </w:t>
            </w:r>
            <w:proofErr w:type="spellStart"/>
            <w:r w:rsidR="009749DB">
              <w:rPr>
                <w:i/>
              </w:rPr>
              <w:t>poz</w:t>
            </w:r>
            <w:proofErr w:type="spellEnd"/>
            <w:r w:rsidR="009749DB">
              <w:rPr>
                <w:i/>
              </w:rPr>
              <w:t xml:space="preserve">. komunikacích, č. 500/2006 Sb. správní řád, č. 131/2000 Sb. o </w:t>
            </w:r>
            <w:proofErr w:type="spellStart"/>
            <w:proofErr w:type="gramStart"/>
            <w:r w:rsidR="009749DB">
              <w:rPr>
                <w:i/>
              </w:rPr>
              <w:t>hl.m.</w:t>
            </w:r>
            <w:proofErr w:type="gramEnd"/>
            <w:r w:rsidR="009749DB">
              <w:rPr>
                <w:i/>
              </w:rPr>
              <w:t>Praze</w:t>
            </w:r>
            <w:proofErr w:type="spellEnd"/>
            <w:r w:rsidR="009749DB">
              <w:rPr>
                <w:i/>
              </w:rPr>
              <w:t xml:space="preserve">, </w:t>
            </w:r>
            <w:r w:rsidRPr="00634D9D">
              <w:rPr>
                <w:i/>
              </w:rPr>
              <w:t xml:space="preserve"> č. 312/2002 Sb., o úřednících územních samosprávných celků,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lastRenderedPageBreak/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osvědčení o absolvovaných kurzech a školeních,</w:t>
            </w:r>
            <w:r w:rsidRPr="00477C3F">
              <w:rPr>
                <w:color w:val="000000"/>
              </w:rPr>
              <w:t xml:space="preserve">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</w:p>
          <w:p w:rsidR="00477C3F" w:rsidRPr="00477C3F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Přihlášky s požadovanými doklady je nutno zaslat nejpozději do</w:t>
            </w:r>
            <w:r w:rsidRPr="009749DB">
              <w:rPr>
                <w:b/>
                <w:color w:val="000000"/>
              </w:rPr>
              <w:t xml:space="preserve"> </w:t>
            </w:r>
            <w:proofErr w:type="gramStart"/>
            <w:r w:rsidR="009749DB" w:rsidRPr="009749DB">
              <w:rPr>
                <w:b/>
                <w:color w:val="000000"/>
              </w:rPr>
              <w:t>25.09.2017</w:t>
            </w:r>
            <w:proofErr w:type="gramEnd"/>
            <w:r w:rsidRPr="00477C3F">
              <w:rPr>
                <w:color w:val="000000"/>
              </w:rPr>
              <w:t xml:space="preserve"> </w:t>
            </w:r>
            <w:r w:rsidR="00422C65" w:rsidRPr="00422C65">
              <w:rPr>
                <w:b/>
                <w:color w:val="000000"/>
              </w:rPr>
              <w:t>do 1</w:t>
            </w:r>
            <w:r w:rsidR="000E754D">
              <w:rPr>
                <w:b/>
                <w:color w:val="000000"/>
              </w:rPr>
              <w:t>2</w:t>
            </w:r>
            <w:r w:rsidR="00422C65" w:rsidRPr="00422C65">
              <w:rPr>
                <w:b/>
                <w:color w:val="000000"/>
              </w:rPr>
              <w:t xml:space="preserve">.00 hod </w:t>
            </w:r>
            <w:r w:rsidRPr="00477C3F">
              <w:rPr>
                <w:color w:val="000000"/>
              </w:rPr>
              <w:t>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Úřad městské části Praha </w:t>
            </w:r>
            <w:r w:rsidR="00AF763C">
              <w:rPr>
                <w:color w:val="000000"/>
              </w:rPr>
              <w:t>- Kunratice</w:t>
            </w:r>
            <w:r w:rsidRPr="00477C3F">
              <w:rPr>
                <w:color w:val="000000"/>
              </w:rPr>
              <w:t>,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5C7A69" w:rsidRPr="005C7A69">
              <w:rPr>
                <w:b/>
                <w:color w:val="000000"/>
              </w:rPr>
              <w:t>„NEOTVÍRAT-</w:t>
            </w:r>
            <w:r w:rsidRPr="005C7A69">
              <w:rPr>
                <w:b/>
                <w:color w:val="000000"/>
              </w:rPr>
              <w:t xml:space="preserve">Výběrové řízení – </w:t>
            </w:r>
            <w:r w:rsidR="000E754D">
              <w:rPr>
                <w:b/>
                <w:color w:val="000000"/>
              </w:rPr>
              <w:t xml:space="preserve">Referent </w:t>
            </w:r>
            <w:r w:rsidR="009749DB">
              <w:rPr>
                <w:b/>
                <w:color w:val="000000"/>
              </w:rPr>
              <w:t>na úseku dopravy</w:t>
            </w:r>
          </w:p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</w:t>
            </w:r>
            <w:r w:rsidR="009749DB">
              <w:rPr>
                <w:rStyle w:val="Siln"/>
                <w:color w:val="000000"/>
              </w:rPr>
              <w:t xml:space="preserve">nebo prodloužit </w:t>
            </w:r>
            <w:r w:rsidR="00AF763C">
              <w:rPr>
                <w:rStyle w:val="Siln"/>
                <w:color w:val="000000"/>
              </w:rPr>
              <w:t>kdykoliv v jeho průběhu.</w:t>
            </w:r>
          </w:p>
        </w:tc>
      </w:tr>
    </w:tbl>
    <w:p w:rsid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 V Praze dne </w:t>
      </w:r>
      <w:proofErr w:type="gramStart"/>
      <w:r w:rsidR="009749DB">
        <w:rPr>
          <w:color w:val="000000"/>
        </w:rPr>
        <w:t>7.9.2017</w:t>
      </w:r>
      <w:proofErr w:type="gramEnd"/>
    </w:p>
    <w:p w:rsidR="003941B1" w:rsidRDefault="003941B1" w:rsidP="00477C3F">
      <w:pPr>
        <w:pStyle w:val="Normlnweb"/>
        <w:shd w:val="clear" w:color="auto" w:fill="FFFFFF"/>
        <w:jc w:val="both"/>
        <w:rPr>
          <w:color w:val="000000"/>
        </w:rPr>
      </w:pPr>
    </w:p>
    <w:p w:rsidR="003941B1" w:rsidRPr="00477C3F" w:rsidRDefault="003941B1" w:rsidP="00477C3F">
      <w:pPr>
        <w:pStyle w:val="Normlnweb"/>
        <w:shd w:val="clear" w:color="auto" w:fill="FFFFFF"/>
        <w:jc w:val="both"/>
        <w:rPr>
          <w:color w:val="000000"/>
        </w:rPr>
      </w:pPr>
    </w:p>
    <w:p w:rsidR="00477C3F" w:rsidRPr="00477C3F" w:rsidRDefault="003941B1" w:rsidP="003941B1">
      <w:pPr>
        <w:pStyle w:val="Normlnweb"/>
        <w:shd w:val="clear" w:color="auto" w:fill="FFFFFF"/>
        <w:spacing w:before="0" w:beforeAutospacing="0" w:after="0" w:afterAutospacing="0"/>
        <w:ind w:left="2832" w:firstLine="708"/>
        <w:jc w:val="center"/>
        <w:rPr>
          <w:color w:val="000000"/>
        </w:rPr>
      </w:pPr>
      <w:proofErr w:type="gramStart"/>
      <w:r>
        <w:rPr>
          <w:color w:val="000000"/>
        </w:rPr>
        <w:t xml:space="preserve">Jitka   </w:t>
      </w:r>
      <w:r w:rsidRPr="003941B1">
        <w:rPr>
          <w:b/>
          <w:color w:val="000000"/>
        </w:rPr>
        <w:t>V</w:t>
      </w:r>
      <w:r>
        <w:rPr>
          <w:b/>
          <w:color w:val="000000"/>
        </w:rPr>
        <w:t> </w:t>
      </w:r>
      <w:r w:rsidRPr="003941B1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Pr="003941B1">
        <w:rPr>
          <w:b/>
          <w:color w:val="000000"/>
        </w:rPr>
        <w:t>ř</w:t>
      </w:r>
      <w:r>
        <w:rPr>
          <w:b/>
          <w:color w:val="000000"/>
        </w:rPr>
        <w:t xml:space="preserve"> </w:t>
      </w:r>
      <w:r w:rsidRPr="003941B1">
        <w:rPr>
          <w:b/>
          <w:color w:val="000000"/>
        </w:rPr>
        <w:t>í</w:t>
      </w:r>
      <w:r>
        <w:rPr>
          <w:b/>
          <w:color w:val="000000"/>
        </w:rPr>
        <w:t xml:space="preserve"> </w:t>
      </w:r>
      <w:r w:rsidRPr="003941B1">
        <w:rPr>
          <w:b/>
          <w:color w:val="000000"/>
        </w:rPr>
        <w:t>š</w:t>
      </w:r>
      <w:r>
        <w:rPr>
          <w:b/>
          <w:color w:val="000000"/>
        </w:rPr>
        <w:t xml:space="preserve"> </w:t>
      </w:r>
      <w:r w:rsidRPr="003941B1">
        <w:rPr>
          <w:b/>
          <w:color w:val="000000"/>
        </w:rPr>
        <w:t>k</w:t>
      </w:r>
      <w:r>
        <w:rPr>
          <w:b/>
          <w:color w:val="000000"/>
        </w:rPr>
        <w:t> </w:t>
      </w:r>
      <w:r w:rsidRPr="003941B1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Pr="003941B1">
        <w:rPr>
          <w:b/>
          <w:color w:val="000000"/>
        </w:rPr>
        <w:t>v</w:t>
      </w:r>
      <w:r>
        <w:rPr>
          <w:b/>
          <w:color w:val="000000"/>
        </w:rPr>
        <w:t> </w:t>
      </w:r>
      <w:r w:rsidRPr="003941B1">
        <w:rPr>
          <w:b/>
          <w:color w:val="000000"/>
        </w:rPr>
        <w:t>á</w:t>
      </w:r>
      <w:proofErr w:type="gramEnd"/>
      <w:r>
        <w:rPr>
          <w:b/>
          <w:color w:val="000000"/>
        </w:rPr>
        <w:t xml:space="preserve"> </w:t>
      </w:r>
      <w:r w:rsidRPr="003941B1">
        <w:rPr>
          <w:b/>
          <w:color w:val="000000"/>
        </w:rPr>
        <w:t xml:space="preserve"> </w:t>
      </w:r>
    </w:p>
    <w:p w:rsidR="00F52351" w:rsidRPr="005C7A69" w:rsidRDefault="00477C3F" w:rsidP="003941B1">
      <w:pPr>
        <w:pStyle w:val="Normlnweb"/>
        <w:shd w:val="clear" w:color="auto" w:fill="FFFFFF"/>
        <w:spacing w:before="0" w:beforeAutospacing="0" w:after="0" w:afterAutospacing="0"/>
        <w:ind w:left="4248"/>
        <w:jc w:val="both"/>
        <w:rPr>
          <w:color w:val="000000"/>
        </w:rPr>
      </w:pPr>
      <w:r w:rsidRPr="00477C3F">
        <w:rPr>
          <w:color w:val="000000"/>
        </w:rPr>
        <w:t xml:space="preserve">tajemnice Úřadu městské části Praha </w:t>
      </w:r>
      <w:r w:rsidR="00991036">
        <w:rPr>
          <w:color w:val="000000"/>
        </w:rPr>
        <w:t>- Kunratice</w:t>
      </w:r>
    </w:p>
    <w:sectPr w:rsidR="00F52351" w:rsidRPr="005C7A69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3189F"/>
    <w:rsid w:val="00051A07"/>
    <w:rsid w:val="00052983"/>
    <w:rsid w:val="00091E14"/>
    <w:rsid w:val="000C37A3"/>
    <w:rsid w:val="000E754D"/>
    <w:rsid w:val="0012213F"/>
    <w:rsid w:val="0013378D"/>
    <w:rsid w:val="00196003"/>
    <w:rsid w:val="00201B75"/>
    <w:rsid w:val="002C5248"/>
    <w:rsid w:val="002D6FC3"/>
    <w:rsid w:val="0031124E"/>
    <w:rsid w:val="00344E1C"/>
    <w:rsid w:val="00372502"/>
    <w:rsid w:val="003941B1"/>
    <w:rsid w:val="00395D45"/>
    <w:rsid w:val="003A628C"/>
    <w:rsid w:val="003C6DDA"/>
    <w:rsid w:val="00422C65"/>
    <w:rsid w:val="004329F7"/>
    <w:rsid w:val="00477C3F"/>
    <w:rsid w:val="005315F7"/>
    <w:rsid w:val="00556E61"/>
    <w:rsid w:val="005C7A69"/>
    <w:rsid w:val="005E2B5B"/>
    <w:rsid w:val="006330B8"/>
    <w:rsid w:val="00634D9D"/>
    <w:rsid w:val="00636565"/>
    <w:rsid w:val="0064750C"/>
    <w:rsid w:val="006E02B5"/>
    <w:rsid w:val="006F4E13"/>
    <w:rsid w:val="006F5560"/>
    <w:rsid w:val="00732C01"/>
    <w:rsid w:val="007D137F"/>
    <w:rsid w:val="008C60BA"/>
    <w:rsid w:val="009338B5"/>
    <w:rsid w:val="009749DB"/>
    <w:rsid w:val="00991036"/>
    <w:rsid w:val="009A519E"/>
    <w:rsid w:val="00A05DB6"/>
    <w:rsid w:val="00A34DEF"/>
    <w:rsid w:val="00AF763C"/>
    <w:rsid w:val="00B15579"/>
    <w:rsid w:val="00B27E99"/>
    <w:rsid w:val="00BE445D"/>
    <w:rsid w:val="00C23875"/>
    <w:rsid w:val="00C24F15"/>
    <w:rsid w:val="00C829AE"/>
    <w:rsid w:val="00CC7617"/>
    <w:rsid w:val="00D155D3"/>
    <w:rsid w:val="00D219E0"/>
    <w:rsid w:val="00D523B3"/>
    <w:rsid w:val="00D963AC"/>
    <w:rsid w:val="00DB26E6"/>
    <w:rsid w:val="00DD2814"/>
    <w:rsid w:val="00DE6D32"/>
    <w:rsid w:val="00E80232"/>
    <w:rsid w:val="00ED6BA7"/>
    <w:rsid w:val="00EF5887"/>
    <w:rsid w:val="00F52351"/>
    <w:rsid w:val="00F60E78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  <w:style w:type="character" w:styleId="Hypertextovodkaz">
    <w:name w:val="Hyperlink"/>
    <w:basedOn w:val="Standardnpsmoodstavce"/>
    <w:rsid w:val="004329F7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link w:val="TextbublinyChar"/>
    <w:rsid w:val="005E2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4F72-ED89-44B7-AF73-4B08442F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920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Andrlová Dagmar</cp:lastModifiedBy>
  <cp:revision>8</cp:revision>
  <cp:lastPrinted>2017-09-07T11:05:00Z</cp:lastPrinted>
  <dcterms:created xsi:type="dcterms:W3CDTF">2017-09-07T05:40:00Z</dcterms:created>
  <dcterms:modified xsi:type="dcterms:W3CDTF">2017-09-07T11:07:00Z</dcterms:modified>
</cp:coreProperties>
</file>