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76" w:rsidRDefault="005B0876" w:rsidP="003B0F69">
      <w:pPr>
        <w:pStyle w:val="Zhlav"/>
        <w:tabs>
          <w:tab w:val="clear" w:pos="4536"/>
        </w:tabs>
        <w:jc w:val="both"/>
        <w:rPr>
          <w:b/>
        </w:rPr>
      </w:pPr>
      <w:r>
        <w:rPr>
          <w:b/>
        </w:rPr>
        <w:t xml:space="preserve">Důvodová zpráva </w:t>
      </w:r>
      <w:r w:rsidR="008D2FAC">
        <w:rPr>
          <w:b/>
        </w:rPr>
        <w:t>k </w:t>
      </w:r>
      <w:r w:rsidR="004A6DFC">
        <w:rPr>
          <w:b/>
        </w:rPr>
        <w:t>z</w:t>
      </w:r>
      <w:r w:rsidR="008D2FAC">
        <w:rPr>
          <w:b/>
        </w:rPr>
        <w:t>ávěrečnému účtu MČ Praha Kunratice za rok 201</w:t>
      </w:r>
      <w:r w:rsidR="00014E76">
        <w:rPr>
          <w:b/>
        </w:rPr>
        <w:t>9</w:t>
      </w:r>
    </w:p>
    <w:p w:rsidR="005B0876" w:rsidRDefault="005B0876" w:rsidP="005E0286">
      <w:pPr>
        <w:pStyle w:val="Zhlav"/>
        <w:tabs>
          <w:tab w:val="clear" w:pos="4536"/>
        </w:tabs>
        <w:jc w:val="both"/>
        <w:rPr>
          <w:b/>
        </w:rPr>
      </w:pPr>
    </w:p>
    <w:p w:rsidR="00E31F43" w:rsidRDefault="005B0876" w:rsidP="00242793">
      <w:pPr>
        <w:pStyle w:val="Zhlav"/>
        <w:tabs>
          <w:tab w:val="clear" w:pos="4536"/>
        </w:tabs>
        <w:jc w:val="both"/>
      </w:pPr>
      <w:r>
        <w:t xml:space="preserve">     Podle § 17 zákona č. 250/2000 Sb. o rozpočtových pravidlech územních rozpočtů v platném znění je městská část </w:t>
      </w:r>
      <w:r w:rsidR="00E31F43">
        <w:t xml:space="preserve">po skončení kalendářního roku </w:t>
      </w:r>
      <w:r>
        <w:t xml:space="preserve">povinna </w:t>
      </w:r>
      <w:r w:rsidR="00E31F43">
        <w:t>zpracovat údaje o ročním hospodaření souhrnně do závěrečného účtu.</w:t>
      </w:r>
    </w:p>
    <w:p w:rsidR="005B0876" w:rsidRDefault="005B0876" w:rsidP="00242793">
      <w:pPr>
        <w:pStyle w:val="Zhlav"/>
        <w:tabs>
          <w:tab w:val="clear" w:pos="4536"/>
        </w:tabs>
        <w:jc w:val="both"/>
      </w:pPr>
      <w:r>
        <w:t>V závěrečném účtu jsou obsaženy údaje o plnění rozpočtu příjmů a výdajů v plném členění podle rozpočtové skladby, údaje o hospodaření s majetkem a o dalších finančních operacích včetně tvorby a použití peněžních fondů a ostatní doplňující údaje. Součástí je i vyúčtování finančních vztahů ke státnímu rozpočtu, rozpočtům krajů (HMP) a státním fondům. Zpráva o výsledku přezkoumání hospodaření je součástí závěrečného účtu při jeho projednávání v orgánech územního samosprávného celku (Zastupitelstvo MČ). Projednání závěrečného účtu se uzavírá vyjádřením</w:t>
      </w:r>
    </w:p>
    <w:p w:rsidR="005B0876" w:rsidRDefault="005B0876" w:rsidP="00242793">
      <w:pPr>
        <w:pStyle w:val="Zhlav"/>
        <w:tabs>
          <w:tab w:val="clear" w:pos="4536"/>
        </w:tabs>
        <w:jc w:val="both"/>
      </w:pPr>
      <w:r>
        <w:t>a) souhlasu s celoročním hospodařením, a to bez výhrad nebo</w:t>
      </w:r>
    </w:p>
    <w:p w:rsidR="005B0876" w:rsidRDefault="005B0876" w:rsidP="00242793">
      <w:pPr>
        <w:pStyle w:val="Zhlav"/>
        <w:tabs>
          <w:tab w:val="clear" w:pos="4536"/>
        </w:tabs>
        <w:jc w:val="both"/>
      </w:pPr>
      <w:r>
        <w:t>b) souhlasu s výhradami, na základě nichž přijme územně samosprávný celek opatření potřebná k nápravě zjištěných chyb a nedostatků</w:t>
      </w:r>
    </w:p>
    <w:p w:rsidR="005B0876" w:rsidRDefault="005B0876" w:rsidP="00242793">
      <w:pPr>
        <w:pStyle w:val="Zhlav"/>
        <w:tabs>
          <w:tab w:val="clear" w:pos="4536"/>
        </w:tabs>
        <w:jc w:val="both"/>
      </w:pPr>
      <w:r>
        <w:t>Podle Statutu hl. m. Prahy je MČ povinna projednat závěrečný účet do 30</w:t>
      </w:r>
      <w:r w:rsidR="0042421B">
        <w:t>.</w:t>
      </w:r>
      <w:r>
        <w:t>6</w:t>
      </w:r>
      <w:r w:rsidR="0042421B">
        <w:t xml:space="preserve">. </w:t>
      </w:r>
      <w:r>
        <w:t>následujícího roku.</w:t>
      </w:r>
    </w:p>
    <w:p w:rsidR="00C70841" w:rsidRDefault="00E31F43" w:rsidP="00242793">
      <w:pPr>
        <w:pStyle w:val="Zhlav"/>
        <w:tabs>
          <w:tab w:val="clear" w:pos="4536"/>
        </w:tabs>
        <w:jc w:val="both"/>
      </w:pPr>
      <w:r>
        <w:t xml:space="preserve">Návrh </w:t>
      </w:r>
      <w:r w:rsidR="005B0876">
        <w:t>Závěrečn</w:t>
      </w:r>
      <w:r>
        <w:t>ého</w:t>
      </w:r>
      <w:r w:rsidR="005B0876">
        <w:t xml:space="preserve"> úč</w:t>
      </w:r>
      <w:r>
        <w:t>tu</w:t>
      </w:r>
      <w:r w:rsidR="005B0876">
        <w:t xml:space="preserve"> Městské části Praha Kunratice za rok 201</w:t>
      </w:r>
      <w:r w:rsidR="00014E76">
        <w:t>9</w:t>
      </w:r>
      <w:r w:rsidR="005B0876">
        <w:t xml:space="preserve"> je zpracován v souladu s § 17 zákona č. 250/2000 Sb. Plné znění Zprávy o výsledcích přezkoumání hospodaření roku 201</w:t>
      </w:r>
      <w:r w:rsidR="00014E76">
        <w:t>9</w:t>
      </w:r>
      <w:r w:rsidR="005B0876">
        <w:t xml:space="preserve"> je uvedeno v</w:t>
      </w:r>
      <w:r>
        <w:t> P</w:t>
      </w:r>
      <w:r w:rsidR="005B0876">
        <w:t>říloze</w:t>
      </w:r>
      <w:r>
        <w:t xml:space="preserve"> č. 4</w:t>
      </w:r>
      <w:r w:rsidR="005B0876">
        <w:t xml:space="preserve">. </w:t>
      </w:r>
    </w:p>
    <w:p w:rsidR="00014E76" w:rsidRDefault="00014E76" w:rsidP="00242793">
      <w:pPr>
        <w:pStyle w:val="Zhlav"/>
        <w:tabs>
          <w:tab w:val="clear" w:pos="4536"/>
        </w:tabs>
        <w:jc w:val="both"/>
      </w:pPr>
    </w:p>
    <w:p w:rsidR="005B0876" w:rsidRPr="00AB4ADA" w:rsidRDefault="005B0876" w:rsidP="005E0286">
      <w:pPr>
        <w:pStyle w:val="Zhlav"/>
        <w:tabs>
          <w:tab w:val="clear" w:pos="4536"/>
        </w:tabs>
        <w:jc w:val="both"/>
        <w:rPr>
          <w:b/>
        </w:rPr>
      </w:pPr>
      <w:r w:rsidRPr="00AB4ADA">
        <w:rPr>
          <w:b/>
        </w:rPr>
        <w:t>Plnění rozpočtu</w:t>
      </w:r>
    </w:p>
    <w:p w:rsidR="008D31C9" w:rsidRDefault="008D31C9" w:rsidP="008D31C9">
      <w:pPr>
        <w:pStyle w:val="Zhlav"/>
        <w:tabs>
          <w:tab w:val="clear" w:pos="4536"/>
          <w:tab w:val="left" w:pos="3686"/>
          <w:tab w:val="left" w:pos="5103"/>
          <w:tab w:val="left" w:pos="5940"/>
          <w:tab w:val="left" w:pos="7740"/>
        </w:tabs>
        <w:jc w:val="both"/>
        <w:rPr>
          <w:rFonts w:ascii="Arial" w:hAnsi="Arial"/>
          <w:sz w:val="20"/>
        </w:rPr>
      </w:pPr>
      <w:r>
        <w:rPr>
          <w:rFonts w:ascii="Arial" w:hAnsi="Arial"/>
          <w:sz w:val="20"/>
        </w:rPr>
        <w:tab/>
        <w:t xml:space="preserve">RS                  RU      </w:t>
      </w:r>
      <w:r>
        <w:rPr>
          <w:rFonts w:ascii="Arial" w:hAnsi="Arial"/>
          <w:sz w:val="20"/>
        </w:rPr>
        <w:tab/>
        <w:t>Skutečnost               % k RU</w:t>
      </w:r>
    </w:p>
    <w:p w:rsidR="008D31C9" w:rsidRDefault="008D31C9" w:rsidP="008D31C9">
      <w:pPr>
        <w:pStyle w:val="Zhlav"/>
        <w:tabs>
          <w:tab w:val="left" w:pos="737"/>
        </w:tabs>
        <w:jc w:val="both"/>
        <w:rPr>
          <w:rFonts w:ascii="Arial" w:hAnsi="Arial"/>
          <w:sz w:val="20"/>
        </w:rPr>
      </w:pP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Daňové příjmy</w:t>
      </w:r>
      <w:r>
        <w:rPr>
          <w:rFonts w:ascii="Arial" w:hAnsi="Arial"/>
          <w:sz w:val="20"/>
        </w:rPr>
        <w:tab/>
        <w:t>8 705,00</w:t>
      </w:r>
      <w:r>
        <w:rPr>
          <w:rFonts w:ascii="Arial" w:hAnsi="Arial"/>
          <w:sz w:val="20"/>
        </w:rPr>
        <w:tab/>
        <w:t>8 705,00</w:t>
      </w:r>
      <w:r>
        <w:rPr>
          <w:rFonts w:ascii="Arial" w:hAnsi="Arial"/>
          <w:sz w:val="20"/>
        </w:rPr>
        <w:tab/>
        <w:t>10 030,88</w:t>
      </w:r>
      <w:r>
        <w:rPr>
          <w:rFonts w:ascii="Arial" w:hAnsi="Arial"/>
          <w:sz w:val="20"/>
        </w:rPr>
        <w:tab/>
        <w:t>115,23</w:t>
      </w: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Nedaňové příjmy</w:t>
      </w:r>
      <w:r>
        <w:rPr>
          <w:rFonts w:ascii="Arial" w:hAnsi="Arial"/>
          <w:sz w:val="20"/>
        </w:rPr>
        <w:tab/>
        <w:t>296,00</w:t>
      </w:r>
      <w:r>
        <w:rPr>
          <w:rFonts w:ascii="Arial" w:hAnsi="Arial"/>
          <w:sz w:val="20"/>
        </w:rPr>
        <w:tab/>
        <w:t>896,20</w:t>
      </w:r>
      <w:r>
        <w:rPr>
          <w:rFonts w:ascii="Arial" w:hAnsi="Arial"/>
          <w:sz w:val="20"/>
        </w:rPr>
        <w:tab/>
        <w:t>1 338,29</w:t>
      </w:r>
      <w:r>
        <w:rPr>
          <w:rFonts w:ascii="Arial" w:hAnsi="Arial"/>
          <w:sz w:val="20"/>
        </w:rPr>
        <w:tab/>
        <w:t>149,33</w:t>
      </w: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Převody mezi HMP a MČ</w:t>
      </w:r>
      <w:r>
        <w:rPr>
          <w:rFonts w:ascii="Arial" w:hAnsi="Arial"/>
          <w:sz w:val="20"/>
        </w:rPr>
        <w:tab/>
        <w:t>45 130,00</w:t>
      </w:r>
      <w:r>
        <w:rPr>
          <w:rFonts w:ascii="Arial" w:hAnsi="Arial"/>
          <w:sz w:val="20"/>
        </w:rPr>
        <w:tab/>
        <w:t>84 261,10</w:t>
      </w:r>
      <w:r>
        <w:rPr>
          <w:rFonts w:ascii="Arial" w:hAnsi="Arial"/>
          <w:sz w:val="20"/>
        </w:rPr>
        <w:tab/>
        <w:t>83 513,02</w:t>
      </w:r>
      <w:r>
        <w:rPr>
          <w:rFonts w:ascii="Arial" w:hAnsi="Arial"/>
          <w:sz w:val="20"/>
        </w:rPr>
        <w:tab/>
        <w:t>99,13</w:t>
      </w: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Úhrn příjmů (Zdroje) celkem</w:t>
      </w:r>
      <w:r>
        <w:rPr>
          <w:rFonts w:ascii="Arial" w:hAnsi="Arial"/>
          <w:sz w:val="20"/>
        </w:rPr>
        <w:tab/>
        <w:t>54 131,00</w:t>
      </w:r>
      <w:r>
        <w:rPr>
          <w:rFonts w:ascii="Arial" w:hAnsi="Arial"/>
          <w:sz w:val="20"/>
        </w:rPr>
        <w:tab/>
        <w:t>95 182,30</w:t>
      </w:r>
      <w:r>
        <w:rPr>
          <w:rFonts w:ascii="Arial" w:hAnsi="Arial"/>
          <w:sz w:val="20"/>
        </w:rPr>
        <w:tab/>
        <w:t>96 202,18</w:t>
      </w:r>
      <w:r>
        <w:rPr>
          <w:rFonts w:ascii="Arial" w:hAnsi="Arial"/>
          <w:sz w:val="20"/>
        </w:rPr>
        <w:tab/>
        <w:t>101,07</w:t>
      </w: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 xml:space="preserve">Výdaje běžné, v tom: </w:t>
      </w:r>
      <w:r>
        <w:rPr>
          <w:rFonts w:ascii="Arial" w:hAnsi="Arial"/>
          <w:sz w:val="20"/>
        </w:rPr>
        <w:tab/>
        <w:t>38 424,00</w:t>
      </w:r>
      <w:r>
        <w:rPr>
          <w:rFonts w:ascii="Arial" w:hAnsi="Arial"/>
          <w:sz w:val="20"/>
        </w:rPr>
        <w:tab/>
        <w:t>54 154,50</w:t>
      </w:r>
      <w:r>
        <w:rPr>
          <w:rFonts w:ascii="Arial" w:hAnsi="Arial"/>
          <w:sz w:val="20"/>
        </w:rPr>
        <w:tab/>
        <w:t>42 581,84</w:t>
      </w:r>
      <w:r>
        <w:rPr>
          <w:rFonts w:ascii="Arial" w:hAnsi="Arial"/>
          <w:sz w:val="20"/>
        </w:rPr>
        <w:tab/>
        <w:t>78,63</w:t>
      </w: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(Převody mezi HMP a MČ)</w:t>
      </w:r>
      <w:r>
        <w:rPr>
          <w:rFonts w:ascii="Arial" w:hAnsi="Arial"/>
          <w:sz w:val="20"/>
        </w:rPr>
        <w:tab/>
        <w:t>(0,00)</w:t>
      </w:r>
      <w:r>
        <w:rPr>
          <w:rFonts w:ascii="Arial" w:hAnsi="Arial"/>
          <w:sz w:val="20"/>
        </w:rPr>
        <w:tab/>
        <w:t>(146,90)</w:t>
      </w:r>
      <w:r>
        <w:rPr>
          <w:rFonts w:ascii="Arial" w:hAnsi="Arial"/>
          <w:sz w:val="20"/>
        </w:rPr>
        <w:tab/>
        <w:t>(146,,98)</w:t>
      </w:r>
      <w:r>
        <w:rPr>
          <w:rFonts w:ascii="Arial" w:hAnsi="Arial"/>
          <w:sz w:val="20"/>
        </w:rPr>
        <w:tab/>
      </w:r>
      <w:r>
        <w:rPr>
          <w:rFonts w:ascii="Arial" w:hAnsi="Arial"/>
          <w:sz w:val="20"/>
        </w:rPr>
        <w:tab/>
      </w: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 xml:space="preserve">Výdaje kapitálové </w:t>
      </w:r>
      <w:r>
        <w:rPr>
          <w:rFonts w:ascii="Arial" w:hAnsi="Arial"/>
          <w:sz w:val="20"/>
        </w:rPr>
        <w:tab/>
        <w:t>42 103,00</w:t>
      </w:r>
      <w:r>
        <w:rPr>
          <w:rFonts w:ascii="Arial" w:hAnsi="Arial"/>
          <w:sz w:val="20"/>
        </w:rPr>
        <w:tab/>
        <w:t>56 703,50</w:t>
      </w:r>
      <w:r>
        <w:rPr>
          <w:rFonts w:ascii="Arial" w:hAnsi="Arial"/>
          <w:sz w:val="20"/>
        </w:rPr>
        <w:tab/>
        <w:t>29 883,20</w:t>
      </w:r>
      <w:r>
        <w:rPr>
          <w:rFonts w:ascii="Arial" w:hAnsi="Arial"/>
          <w:sz w:val="20"/>
        </w:rPr>
        <w:tab/>
        <w:t>52,70</w:t>
      </w: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Úhrn výdajů</w:t>
      </w:r>
      <w:r>
        <w:rPr>
          <w:rFonts w:ascii="Arial" w:hAnsi="Arial"/>
          <w:sz w:val="20"/>
        </w:rPr>
        <w:tab/>
        <w:t>80 527,00</w:t>
      </w:r>
      <w:r>
        <w:rPr>
          <w:rFonts w:ascii="Arial" w:hAnsi="Arial"/>
          <w:sz w:val="20"/>
        </w:rPr>
        <w:tab/>
        <w:t>110 858,00</w:t>
      </w:r>
      <w:r>
        <w:rPr>
          <w:rFonts w:ascii="Arial" w:hAnsi="Arial"/>
          <w:sz w:val="20"/>
        </w:rPr>
        <w:tab/>
        <w:t>72 465,04</w:t>
      </w:r>
      <w:r>
        <w:rPr>
          <w:rFonts w:ascii="Arial" w:hAnsi="Arial"/>
          <w:sz w:val="20"/>
        </w:rPr>
        <w:tab/>
        <w:t>65,37</w:t>
      </w: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Rozdíl příjmů a výdajů</w:t>
      </w:r>
      <w:r>
        <w:rPr>
          <w:rFonts w:ascii="Arial" w:hAnsi="Arial"/>
          <w:sz w:val="20"/>
        </w:rPr>
        <w:tab/>
        <w:t>-26 396,00</w:t>
      </w:r>
      <w:r>
        <w:rPr>
          <w:rFonts w:ascii="Arial" w:hAnsi="Arial"/>
          <w:sz w:val="20"/>
        </w:rPr>
        <w:tab/>
        <w:t>-15 675,70</w:t>
      </w:r>
      <w:r>
        <w:rPr>
          <w:rFonts w:ascii="Arial" w:hAnsi="Arial"/>
          <w:sz w:val="20"/>
        </w:rPr>
        <w:tab/>
        <w:t>23 737,15</w:t>
      </w:r>
    </w:p>
    <w:p w:rsidR="008D31C9" w:rsidRDefault="008D31C9" w:rsidP="008D31C9">
      <w:pPr>
        <w:pStyle w:val="Zhlav"/>
        <w:tabs>
          <w:tab w:val="clear" w:pos="4536"/>
          <w:tab w:val="decimal" w:pos="3969"/>
          <w:tab w:val="decimal" w:pos="5245"/>
          <w:tab w:val="decimal" w:pos="6663"/>
          <w:tab w:val="decimal" w:pos="7938"/>
        </w:tabs>
        <w:jc w:val="both"/>
        <w:rPr>
          <w:rFonts w:ascii="Arial" w:hAnsi="Arial"/>
          <w:sz w:val="20"/>
        </w:rPr>
      </w:pPr>
      <w:r>
        <w:rPr>
          <w:rFonts w:ascii="Arial" w:hAnsi="Arial"/>
          <w:sz w:val="20"/>
        </w:rPr>
        <w:t>Financování</w:t>
      </w:r>
      <w:r>
        <w:rPr>
          <w:rFonts w:ascii="Arial" w:hAnsi="Arial"/>
          <w:sz w:val="20"/>
        </w:rPr>
        <w:tab/>
        <w:t>26 396,00</w:t>
      </w:r>
      <w:r>
        <w:rPr>
          <w:rFonts w:ascii="Arial" w:hAnsi="Arial"/>
          <w:sz w:val="20"/>
        </w:rPr>
        <w:tab/>
        <w:t>15 675,70</w:t>
      </w:r>
      <w:r>
        <w:rPr>
          <w:rFonts w:ascii="Arial" w:hAnsi="Arial"/>
          <w:sz w:val="20"/>
        </w:rPr>
        <w:tab/>
        <w:t>-23 737,15</w:t>
      </w:r>
      <w:r>
        <w:rPr>
          <w:rFonts w:ascii="Arial" w:hAnsi="Arial"/>
          <w:sz w:val="20"/>
        </w:rPr>
        <w:tab/>
      </w:r>
    </w:p>
    <w:p w:rsidR="00197533" w:rsidRDefault="00197533" w:rsidP="00197533">
      <w:pPr>
        <w:pStyle w:val="Zhlav"/>
        <w:tabs>
          <w:tab w:val="clear" w:pos="4536"/>
          <w:tab w:val="decimal" w:pos="3969"/>
          <w:tab w:val="decimal" w:pos="5245"/>
          <w:tab w:val="decimal" w:pos="7088"/>
          <w:tab w:val="decimal" w:pos="8364"/>
        </w:tabs>
        <w:jc w:val="both"/>
        <w:rPr>
          <w:rFonts w:ascii="Arial" w:hAnsi="Arial"/>
          <w:sz w:val="20"/>
        </w:rPr>
      </w:pPr>
    </w:p>
    <w:p w:rsidR="00175CBB" w:rsidRPr="00175CBB" w:rsidRDefault="00197533" w:rsidP="00175CBB">
      <w:pPr>
        <w:jc w:val="both"/>
      </w:pPr>
      <w:r>
        <w:t xml:space="preserve">     </w:t>
      </w:r>
      <w:r w:rsidR="00175CBB" w:rsidRPr="00175CBB">
        <w:t>MČ hospodařila s příjmy 96 202,18 tis. Kč, výdaji 72 465,04 tis. Kč. Celkem bylo vynaloženo 29 883,20 tis. Kč investičních výdajů, běžné výdaje zahrnují provedené opravy. Hospodaření skončilo vykázaným přebytkem 23 737,15 tis. Kč. Znamená to, že hospodaření bylo kladné, vlastní příjmy převyšují 100%. Uskutečněné výdaje byly kryty ročními příjmy vlastními i přijatými dotacemi, přebytek ale zahrnuje i rozestavěné investiční akce, které přecházejí do roku 2020.</w:t>
      </w:r>
    </w:p>
    <w:p w:rsidR="00175CBB" w:rsidRPr="00175CBB" w:rsidRDefault="00175CBB" w:rsidP="00175CBB">
      <w:pPr>
        <w:jc w:val="both"/>
        <w:rPr>
          <w:bCs/>
        </w:rPr>
      </w:pPr>
      <w:r w:rsidRPr="00175CBB">
        <w:t xml:space="preserve">Zahrnuje i podíl nedočerpané dotace 8 000,0 tis. Kč na pořízení hasičského auta, které nebylo možno z objektivních důvodů do konce roku dokončit a bude hrazeno počátkem roku 2020. </w:t>
      </w:r>
      <w:r w:rsidRPr="00175CBB">
        <w:tab/>
      </w:r>
    </w:p>
    <w:p w:rsidR="00175CBB" w:rsidRPr="00175CBB" w:rsidRDefault="00175CBB" w:rsidP="00175CBB">
      <w:pPr>
        <w:pStyle w:val="Zhlav"/>
        <w:tabs>
          <w:tab w:val="clear" w:pos="4536"/>
          <w:tab w:val="decimal" w:pos="3969"/>
          <w:tab w:val="decimal" w:pos="5245"/>
          <w:tab w:val="decimal" w:pos="7088"/>
          <w:tab w:val="decimal" w:pos="8364"/>
        </w:tabs>
        <w:jc w:val="both"/>
        <w:rPr>
          <w:szCs w:val="24"/>
        </w:rPr>
      </w:pPr>
      <w:r w:rsidRPr="00175CBB">
        <w:rPr>
          <w:szCs w:val="24"/>
        </w:rPr>
        <w:t xml:space="preserve">     Městská část Kunratice v roce 2019 postupovala plně v souladu se záměrem rozpočtu, který byl schválen s vysokým podílem investičních výdajů a zapojením úspor předešlých let, aby financování plánovaných staveb umožňoval. </w:t>
      </w:r>
    </w:p>
    <w:p w:rsidR="00175CBB" w:rsidRPr="00175CBB" w:rsidRDefault="00175CBB" w:rsidP="00175CBB">
      <w:pPr>
        <w:jc w:val="both"/>
      </w:pPr>
      <w:r w:rsidRPr="00175CBB">
        <w:t>Prioritou rozpočtu byla oblast doprava, druhá etapa Plošných rekonstrukcí komunikací je dokončena, dokončeny jsou také chodníky při ulicích Za Bažantnicí a Technologická-Demlova.</w:t>
      </w:r>
    </w:p>
    <w:p w:rsidR="00BC08DA" w:rsidRPr="00175CBB" w:rsidRDefault="00175CBB" w:rsidP="00175CBB">
      <w:pPr>
        <w:pStyle w:val="Zhlav"/>
        <w:tabs>
          <w:tab w:val="clear" w:pos="4536"/>
          <w:tab w:val="decimal" w:pos="4675"/>
          <w:tab w:val="decimal" w:pos="7293"/>
        </w:tabs>
        <w:jc w:val="both"/>
        <w:rPr>
          <w:szCs w:val="24"/>
        </w:rPr>
      </w:pPr>
      <w:r w:rsidRPr="00175CBB">
        <w:rPr>
          <w:szCs w:val="24"/>
        </w:rPr>
        <w:lastRenderedPageBreak/>
        <w:t xml:space="preserve">Zahájena byla rekonstrukce rozvodů vody a kanalizace v mateřské škole a </w:t>
      </w:r>
      <w:r w:rsidRPr="00175CBB">
        <w:rPr>
          <w:bCs/>
          <w:szCs w:val="24"/>
        </w:rPr>
        <w:t>Revitalizace rybníka Ohrada, pokračuje rekonstrukce hasičské zbrojnice.</w:t>
      </w:r>
    </w:p>
    <w:p w:rsidR="001A3919" w:rsidRDefault="001A3919" w:rsidP="00112B45">
      <w:pPr>
        <w:pStyle w:val="Zhlav"/>
        <w:tabs>
          <w:tab w:val="clear" w:pos="4536"/>
        </w:tabs>
        <w:jc w:val="both"/>
        <w:rPr>
          <w:szCs w:val="24"/>
        </w:rPr>
      </w:pPr>
    </w:p>
    <w:p w:rsidR="001542DD" w:rsidRPr="000D3D03" w:rsidRDefault="00817D06" w:rsidP="001542DD">
      <w:pPr>
        <w:pStyle w:val="Zhlav"/>
        <w:tabs>
          <w:tab w:val="clear" w:pos="4536"/>
        </w:tabs>
        <w:jc w:val="both"/>
        <w:rPr>
          <w:b/>
          <w:szCs w:val="24"/>
        </w:rPr>
      </w:pPr>
      <w:r w:rsidRPr="000D3D03">
        <w:rPr>
          <w:b/>
          <w:szCs w:val="24"/>
        </w:rPr>
        <w:t xml:space="preserve">I. </w:t>
      </w:r>
      <w:r w:rsidR="001542DD" w:rsidRPr="000D3D03">
        <w:rPr>
          <w:b/>
          <w:szCs w:val="24"/>
        </w:rPr>
        <w:t>Plnění rozpočtu příjmů:</w:t>
      </w:r>
    </w:p>
    <w:p w:rsidR="00817D06" w:rsidRPr="000D3D03" w:rsidRDefault="00817D06" w:rsidP="001542DD">
      <w:pPr>
        <w:pStyle w:val="Zhlav"/>
        <w:tabs>
          <w:tab w:val="clear" w:pos="4536"/>
        </w:tabs>
        <w:jc w:val="both"/>
        <w:rPr>
          <w:b/>
          <w:szCs w:val="24"/>
        </w:rPr>
      </w:pPr>
    </w:p>
    <w:p w:rsidR="00197533" w:rsidRPr="000D3D03" w:rsidRDefault="00197533" w:rsidP="00197533">
      <w:pPr>
        <w:pStyle w:val="Zhlav"/>
        <w:tabs>
          <w:tab w:val="clear" w:pos="4536"/>
          <w:tab w:val="decimal" w:pos="4675"/>
          <w:tab w:val="decimal" w:pos="7293"/>
        </w:tabs>
        <w:jc w:val="both"/>
        <w:rPr>
          <w:szCs w:val="24"/>
        </w:rPr>
      </w:pPr>
      <w:r w:rsidRPr="000D3D03">
        <w:rPr>
          <w:szCs w:val="24"/>
        </w:rPr>
        <w:t>Třída I. Daňové příjmy</w:t>
      </w:r>
    </w:p>
    <w:p w:rsidR="00197533" w:rsidRPr="000D3D03" w:rsidRDefault="00197533" w:rsidP="00197533">
      <w:pPr>
        <w:pStyle w:val="Zhlav"/>
        <w:tabs>
          <w:tab w:val="clear" w:pos="4536"/>
          <w:tab w:val="decimal" w:pos="4675"/>
          <w:tab w:val="decimal" w:pos="7293"/>
        </w:tabs>
        <w:jc w:val="both"/>
        <w:rPr>
          <w:szCs w:val="24"/>
        </w:rPr>
      </w:pPr>
      <w:r w:rsidRPr="000D3D03">
        <w:rPr>
          <w:szCs w:val="24"/>
        </w:rPr>
        <w:t xml:space="preserve">Nejvýznamnější vlastní příjem, daň z nemovitých věcí, je splněn, </w:t>
      </w:r>
      <w:r w:rsidR="00175CBB" w:rsidRPr="000D3D03">
        <w:rPr>
          <w:szCs w:val="24"/>
        </w:rPr>
        <w:t>zvýšený příjem vykazuje agenda místních a správních poplatků.</w:t>
      </w:r>
      <w:r w:rsidRPr="000D3D03">
        <w:rPr>
          <w:szCs w:val="24"/>
        </w:rPr>
        <w:t xml:space="preserve"> </w:t>
      </w:r>
    </w:p>
    <w:p w:rsidR="00197533" w:rsidRPr="000D3D03" w:rsidRDefault="00197533" w:rsidP="00197533">
      <w:pPr>
        <w:pStyle w:val="Zhlav"/>
        <w:tabs>
          <w:tab w:val="clear" w:pos="4536"/>
          <w:tab w:val="decimal" w:pos="4675"/>
          <w:tab w:val="decimal" w:pos="7293"/>
        </w:tabs>
        <w:jc w:val="both"/>
        <w:rPr>
          <w:szCs w:val="24"/>
        </w:rPr>
      </w:pPr>
    </w:p>
    <w:p w:rsidR="00197533" w:rsidRPr="000D3D03" w:rsidRDefault="00197533" w:rsidP="00197533">
      <w:pPr>
        <w:pStyle w:val="Zhlav"/>
        <w:tabs>
          <w:tab w:val="clear" w:pos="4536"/>
          <w:tab w:val="decimal" w:pos="4675"/>
          <w:tab w:val="decimal" w:pos="7293"/>
        </w:tabs>
        <w:jc w:val="both"/>
        <w:rPr>
          <w:szCs w:val="24"/>
        </w:rPr>
      </w:pPr>
      <w:r w:rsidRPr="000D3D03">
        <w:rPr>
          <w:szCs w:val="24"/>
        </w:rPr>
        <w:t>Třída II. Nedaňové příjmy</w:t>
      </w:r>
    </w:p>
    <w:p w:rsidR="00175CBB" w:rsidRPr="000D3D03" w:rsidRDefault="00175CBB" w:rsidP="00175CBB">
      <w:pPr>
        <w:pStyle w:val="Zhlav"/>
        <w:tabs>
          <w:tab w:val="clear" w:pos="4536"/>
          <w:tab w:val="decimal" w:pos="4675"/>
          <w:tab w:val="decimal" w:pos="7293"/>
        </w:tabs>
        <w:jc w:val="both"/>
        <w:rPr>
          <w:szCs w:val="24"/>
        </w:rPr>
      </w:pPr>
      <w:r w:rsidRPr="000D3D03">
        <w:rPr>
          <w:szCs w:val="24"/>
        </w:rPr>
        <w:t xml:space="preserve">Plnění nedaňových příjmů 149,33% je dáno příjmem přeplatku ze záloh roku 2018 na energie, příjmem z pronájmu hrobů a příjmem z úroků. Výrazně stoupá počet případů přestupků řešených ve správním řízení. </w:t>
      </w:r>
    </w:p>
    <w:p w:rsidR="00197533" w:rsidRPr="000D3D03" w:rsidRDefault="00197533" w:rsidP="00197533">
      <w:pPr>
        <w:pStyle w:val="Zhlav"/>
        <w:tabs>
          <w:tab w:val="clear" w:pos="4536"/>
          <w:tab w:val="decimal" w:pos="4675"/>
          <w:tab w:val="decimal" w:pos="7293"/>
        </w:tabs>
        <w:jc w:val="both"/>
        <w:rPr>
          <w:szCs w:val="24"/>
        </w:rPr>
      </w:pPr>
    </w:p>
    <w:p w:rsidR="00197533" w:rsidRPr="000D3D03" w:rsidRDefault="00197533" w:rsidP="00197533">
      <w:pPr>
        <w:pStyle w:val="Zhlav"/>
        <w:tabs>
          <w:tab w:val="clear" w:pos="4536"/>
          <w:tab w:val="decimal" w:pos="4675"/>
          <w:tab w:val="decimal" w:pos="7293"/>
        </w:tabs>
        <w:jc w:val="both"/>
        <w:rPr>
          <w:szCs w:val="24"/>
        </w:rPr>
      </w:pPr>
      <w:r w:rsidRPr="000D3D03">
        <w:rPr>
          <w:szCs w:val="24"/>
        </w:rPr>
        <w:t>Třída IV. Přijaté transfery</w:t>
      </w:r>
    </w:p>
    <w:p w:rsidR="00175CBB" w:rsidRPr="000D3D03" w:rsidRDefault="00197533" w:rsidP="00175CBB">
      <w:pPr>
        <w:pStyle w:val="Zhlav"/>
        <w:tabs>
          <w:tab w:val="clear" w:pos="4536"/>
          <w:tab w:val="decimal" w:pos="4675"/>
          <w:tab w:val="decimal" w:pos="7293"/>
        </w:tabs>
        <w:jc w:val="both"/>
        <w:rPr>
          <w:szCs w:val="24"/>
        </w:rPr>
      </w:pPr>
      <w:r w:rsidRPr="000D3D03">
        <w:rPr>
          <w:szCs w:val="24"/>
        </w:rPr>
        <w:t xml:space="preserve"> </w:t>
      </w:r>
      <w:r w:rsidR="00175CBB" w:rsidRPr="000D3D03">
        <w:rPr>
          <w:szCs w:val="24"/>
        </w:rPr>
        <w:t>Neinvestiční dotace:</w:t>
      </w:r>
    </w:p>
    <w:p w:rsidR="00175CBB" w:rsidRPr="000D3D03" w:rsidRDefault="00175CBB" w:rsidP="00175CBB">
      <w:pPr>
        <w:pStyle w:val="Zhlav"/>
        <w:tabs>
          <w:tab w:val="clear" w:pos="4536"/>
          <w:tab w:val="decimal" w:pos="4675"/>
          <w:tab w:val="decimal" w:pos="7293"/>
        </w:tabs>
        <w:jc w:val="both"/>
        <w:rPr>
          <w:szCs w:val="24"/>
        </w:rPr>
      </w:pPr>
      <w:r w:rsidRPr="000D3D03">
        <w:rPr>
          <w:szCs w:val="24"/>
        </w:rPr>
        <w:t>- neinvestiční dotace HMP</w:t>
      </w:r>
      <w:r w:rsidR="0042421B">
        <w:rPr>
          <w:szCs w:val="24"/>
        </w:rPr>
        <w:t xml:space="preserve"> a</w:t>
      </w:r>
      <w:r w:rsidR="00B50236" w:rsidRPr="000D3D03">
        <w:rPr>
          <w:szCs w:val="24"/>
        </w:rPr>
        <w:t xml:space="preserve"> ze </w:t>
      </w:r>
      <w:r w:rsidR="0042421B">
        <w:rPr>
          <w:szCs w:val="24"/>
        </w:rPr>
        <w:t>st. rozpočtu</w:t>
      </w:r>
      <w:r w:rsidRPr="000D3D03">
        <w:rPr>
          <w:szCs w:val="24"/>
        </w:rPr>
        <w:t xml:space="preserve"> jsou uvedeny v</w:t>
      </w:r>
      <w:r w:rsidR="00B50236" w:rsidRPr="000D3D03">
        <w:rPr>
          <w:szCs w:val="24"/>
        </w:rPr>
        <w:t xml:space="preserve"> části VII a VIII vyúčtování finančních vztahů, </w:t>
      </w:r>
      <w:r w:rsidRPr="000D3D03">
        <w:rPr>
          <w:szCs w:val="24"/>
        </w:rPr>
        <w:t>byly čerpány podle účelu,</w:t>
      </w:r>
    </w:p>
    <w:p w:rsidR="00175CBB" w:rsidRPr="000D3D03" w:rsidRDefault="00175CBB" w:rsidP="00175CBB">
      <w:pPr>
        <w:pStyle w:val="Zhlav"/>
        <w:tabs>
          <w:tab w:val="clear" w:pos="4536"/>
          <w:tab w:val="decimal" w:pos="4675"/>
          <w:tab w:val="decimal" w:pos="7293"/>
        </w:tabs>
        <w:jc w:val="both"/>
        <w:rPr>
          <w:szCs w:val="24"/>
        </w:rPr>
      </w:pPr>
      <w:r w:rsidRPr="000D3D03">
        <w:rPr>
          <w:szCs w:val="24"/>
        </w:rPr>
        <w:t>dotace na zkoušky odborné způsobilosti 24,1 tis. Kč, vyčerpána není, bude vrácena;</w:t>
      </w:r>
    </w:p>
    <w:p w:rsidR="00175CBB" w:rsidRPr="000D3D03" w:rsidRDefault="00175CBB" w:rsidP="00175CBB">
      <w:pPr>
        <w:pStyle w:val="Zhlav"/>
        <w:tabs>
          <w:tab w:val="clear" w:pos="4536"/>
          <w:tab w:val="decimal" w:pos="7293"/>
        </w:tabs>
        <w:jc w:val="both"/>
        <w:rPr>
          <w:szCs w:val="24"/>
        </w:rPr>
      </w:pPr>
      <w:r w:rsidRPr="000D3D03">
        <w:rPr>
          <w:szCs w:val="24"/>
        </w:rPr>
        <w:t xml:space="preserve">- rozpočet nám byl zvýšen o dotace z programu OP PPR pro Základní a Mateřskou školu, byly v plné výši převáděny oběma organizacím; </w:t>
      </w:r>
    </w:p>
    <w:p w:rsidR="00175CBB" w:rsidRPr="000D3D03" w:rsidRDefault="00175CBB" w:rsidP="00175CBB">
      <w:pPr>
        <w:pStyle w:val="Zhlav"/>
        <w:tabs>
          <w:tab w:val="clear" w:pos="4536"/>
          <w:tab w:val="decimal" w:pos="7293"/>
        </w:tabs>
        <w:jc w:val="both"/>
        <w:rPr>
          <w:szCs w:val="24"/>
        </w:rPr>
      </w:pPr>
      <w:r w:rsidRPr="000D3D03">
        <w:rPr>
          <w:szCs w:val="24"/>
        </w:rPr>
        <w:t>- ze SR jsme obdrželi dotaci na volby do EP 215,1 tis. Kč, nebyla dočerpána, bude předmětem odvodu finančního vypořádání za rok 2019;</w:t>
      </w:r>
    </w:p>
    <w:p w:rsidR="00175CBB" w:rsidRPr="000D3D03" w:rsidRDefault="00175CBB" w:rsidP="00175CBB">
      <w:pPr>
        <w:pStyle w:val="Zhlav"/>
        <w:tabs>
          <w:tab w:val="clear" w:pos="4536"/>
          <w:tab w:val="decimal" w:pos="7293"/>
        </w:tabs>
        <w:jc w:val="both"/>
        <w:rPr>
          <w:szCs w:val="24"/>
        </w:rPr>
      </w:pPr>
      <w:r w:rsidRPr="000D3D03">
        <w:rPr>
          <w:szCs w:val="24"/>
        </w:rPr>
        <w:t>- za SR – MPSV nám byla poskytnuta dotace 445,0 tis. Kč z programu OP Zaměstnanost na Tvorbu strategických dokumentů MČ, program je na období let 2019-2021</w:t>
      </w:r>
    </w:p>
    <w:p w:rsidR="00B50236" w:rsidRPr="000D3D03" w:rsidRDefault="00B50236" w:rsidP="00175CBB">
      <w:pPr>
        <w:pStyle w:val="Zhlav"/>
        <w:tabs>
          <w:tab w:val="clear" w:pos="4536"/>
          <w:tab w:val="decimal" w:pos="7293"/>
        </w:tabs>
        <w:jc w:val="both"/>
        <w:rPr>
          <w:szCs w:val="24"/>
        </w:rPr>
      </w:pPr>
    </w:p>
    <w:p w:rsidR="00175CBB" w:rsidRPr="000D3D03" w:rsidRDefault="00175CBB" w:rsidP="00175CBB">
      <w:pPr>
        <w:pStyle w:val="Zhlav"/>
        <w:tabs>
          <w:tab w:val="clear" w:pos="4536"/>
          <w:tab w:val="decimal" w:pos="7293"/>
        </w:tabs>
        <w:jc w:val="both"/>
        <w:rPr>
          <w:szCs w:val="24"/>
        </w:rPr>
      </w:pPr>
      <w:r w:rsidRPr="000D3D03">
        <w:rPr>
          <w:szCs w:val="24"/>
        </w:rPr>
        <w:t>Investiční dotace</w:t>
      </w:r>
    </w:p>
    <w:p w:rsidR="00175CBB" w:rsidRPr="000D3D03" w:rsidRDefault="00175CBB" w:rsidP="00175CBB">
      <w:pPr>
        <w:pStyle w:val="Zhlav"/>
        <w:tabs>
          <w:tab w:val="clear" w:pos="4536"/>
          <w:tab w:val="decimal" w:pos="4675"/>
          <w:tab w:val="decimal" w:pos="7293"/>
        </w:tabs>
        <w:jc w:val="both"/>
        <w:rPr>
          <w:szCs w:val="24"/>
        </w:rPr>
      </w:pPr>
      <w:r w:rsidRPr="000D3D03">
        <w:rPr>
          <w:szCs w:val="24"/>
        </w:rPr>
        <w:t xml:space="preserve">- investiční dotace </w:t>
      </w:r>
      <w:r w:rsidR="00B50236" w:rsidRPr="000D3D03">
        <w:rPr>
          <w:szCs w:val="24"/>
        </w:rPr>
        <w:t xml:space="preserve">od </w:t>
      </w:r>
      <w:r w:rsidRPr="000D3D03">
        <w:rPr>
          <w:szCs w:val="24"/>
        </w:rPr>
        <w:t>HMP</w:t>
      </w:r>
      <w:r w:rsidR="00B50236" w:rsidRPr="000D3D03">
        <w:rPr>
          <w:szCs w:val="24"/>
        </w:rPr>
        <w:t xml:space="preserve"> v celkové výši </w:t>
      </w:r>
      <w:r w:rsidR="000D3D03" w:rsidRPr="000D3D03">
        <w:rPr>
          <w:szCs w:val="24"/>
        </w:rPr>
        <w:t>24 520,0 tis. byly čerpány podle účelu. V</w:t>
      </w:r>
      <w:r w:rsidRPr="000D3D03">
        <w:rPr>
          <w:szCs w:val="24"/>
        </w:rPr>
        <w:t>yčerp</w:t>
      </w:r>
      <w:r w:rsidR="000D3D03" w:rsidRPr="000D3D03">
        <w:rPr>
          <w:szCs w:val="24"/>
        </w:rPr>
        <w:t xml:space="preserve">ána je dotace 13 000,0 tis. Kč </w:t>
      </w:r>
      <w:r w:rsidRPr="000D3D03">
        <w:rPr>
          <w:szCs w:val="24"/>
        </w:rPr>
        <w:t>na Plošné rekonstrukce komunikací Kunratice</w:t>
      </w:r>
      <w:r w:rsidR="000D3D03" w:rsidRPr="000D3D03">
        <w:rPr>
          <w:szCs w:val="24"/>
        </w:rPr>
        <w:t>, ostatní akce –</w:t>
      </w:r>
      <w:r w:rsidR="00BC791F">
        <w:rPr>
          <w:szCs w:val="24"/>
        </w:rPr>
        <w:t xml:space="preserve"> </w:t>
      </w:r>
      <w:r w:rsidR="000D3D03" w:rsidRPr="000D3D03">
        <w:rPr>
          <w:szCs w:val="24"/>
        </w:rPr>
        <w:t>rekonstrukce hasičské zbrojnice, revitalizace rybníka Ohrada pokračují v roce 2020</w:t>
      </w:r>
      <w:r w:rsidR="0042421B">
        <w:rPr>
          <w:szCs w:val="24"/>
        </w:rPr>
        <w:t>;</w:t>
      </w:r>
    </w:p>
    <w:p w:rsidR="000D3D03" w:rsidRDefault="00175CBB" w:rsidP="00175CBB">
      <w:pPr>
        <w:pStyle w:val="Zhlav"/>
        <w:tabs>
          <w:tab w:val="clear" w:pos="4536"/>
          <w:tab w:val="decimal" w:pos="4675"/>
          <w:tab w:val="decimal" w:pos="7293"/>
        </w:tabs>
        <w:jc w:val="both"/>
        <w:rPr>
          <w:rFonts w:ascii="Arial" w:hAnsi="Arial"/>
          <w:sz w:val="22"/>
        </w:rPr>
      </w:pPr>
      <w:r w:rsidRPr="000D3D03">
        <w:rPr>
          <w:szCs w:val="24"/>
        </w:rPr>
        <w:t xml:space="preserve">- </w:t>
      </w:r>
      <w:r w:rsidR="000D3D03" w:rsidRPr="000D3D03">
        <w:rPr>
          <w:szCs w:val="24"/>
        </w:rPr>
        <w:t xml:space="preserve">MČ </w:t>
      </w:r>
      <w:r w:rsidRPr="000D3D03">
        <w:rPr>
          <w:szCs w:val="24"/>
        </w:rPr>
        <w:t>hospodařila v roce 2019 také s ponechanými částmi dotací z předešlého období</w:t>
      </w:r>
      <w:r w:rsidR="000D3D03">
        <w:rPr>
          <w:rFonts w:ascii="Arial" w:hAnsi="Arial"/>
          <w:sz w:val="22"/>
        </w:rPr>
        <w:t xml:space="preserve">. </w:t>
      </w:r>
    </w:p>
    <w:p w:rsidR="000D3D03" w:rsidRDefault="000D3D03" w:rsidP="00175CBB">
      <w:pPr>
        <w:pStyle w:val="Zhlav"/>
        <w:tabs>
          <w:tab w:val="clear" w:pos="4536"/>
          <w:tab w:val="decimal" w:pos="4675"/>
          <w:tab w:val="decimal" w:pos="7293"/>
        </w:tabs>
        <w:jc w:val="both"/>
        <w:rPr>
          <w:rFonts w:ascii="Arial" w:hAnsi="Arial"/>
          <w:sz w:val="22"/>
        </w:rPr>
      </w:pPr>
    </w:p>
    <w:p w:rsidR="001542DD" w:rsidRPr="001542DD" w:rsidRDefault="001542DD" w:rsidP="00175CBB">
      <w:pPr>
        <w:pStyle w:val="Zhlav"/>
        <w:tabs>
          <w:tab w:val="clear" w:pos="4536"/>
          <w:tab w:val="decimal" w:pos="4675"/>
          <w:tab w:val="decimal" w:pos="7293"/>
        </w:tabs>
        <w:jc w:val="both"/>
        <w:rPr>
          <w:b/>
          <w:szCs w:val="24"/>
        </w:rPr>
      </w:pPr>
      <w:r w:rsidRPr="001542DD">
        <w:rPr>
          <w:b/>
          <w:szCs w:val="24"/>
        </w:rPr>
        <w:t>II. Čerpání výdajů:</w:t>
      </w:r>
    </w:p>
    <w:p w:rsidR="00197533" w:rsidRDefault="00197533" w:rsidP="00197533">
      <w:pPr>
        <w:rPr>
          <w:b/>
        </w:rPr>
      </w:pPr>
    </w:p>
    <w:p w:rsidR="00197533" w:rsidRDefault="00197533" w:rsidP="00197533">
      <w:pPr>
        <w:rPr>
          <w:b/>
        </w:rPr>
      </w:pPr>
      <w:r>
        <w:rPr>
          <w:b/>
        </w:rPr>
        <w:t>Běžné výdaje:</w:t>
      </w:r>
    </w:p>
    <w:p w:rsidR="000D3D03" w:rsidRPr="00BB6781" w:rsidRDefault="000D3D03" w:rsidP="000D3D03">
      <w:pPr>
        <w:jc w:val="both"/>
      </w:pPr>
      <w:r w:rsidRPr="00BB6781">
        <w:t xml:space="preserve">Celkově byly běžné výdaje čerpány z 78,63%. </w:t>
      </w:r>
    </w:p>
    <w:p w:rsidR="000D3D03" w:rsidRPr="00BB6781" w:rsidRDefault="000D3D03" w:rsidP="000D3D03">
      <w:pPr>
        <w:jc w:val="both"/>
      </w:pPr>
      <w:r w:rsidRPr="00BB6781">
        <w:t>- Významně se podílí doprava</w:t>
      </w:r>
      <w:r w:rsidR="008C163E" w:rsidRPr="00BB6781">
        <w:t xml:space="preserve">. </w:t>
      </w:r>
      <w:r w:rsidRPr="00BB6781">
        <w:t xml:space="preserve">Z celkové částky  2 331,88 tis. Kč byla hrazena zimní údržba a úklid po ní, úpravy dopravního značení, letní úklid, odstraňování graffiti aj. Byly provedeny opravy výtluků a jiné opravy komunikací. </w:t>
      </w:r>
    </w:p>
    <w:p w:rsidR="000D3D03" w:rsidRPr="00BB6781" w:rsidRDefault="000D3D03" w:rsidP="000D3D03">
      <w:pPr>
        <w:jc w:val="both"/>
      </w:pPr>
      <w:r w:rsidRPr="00BB6781">
        <w:t>- Na čerpání se nejvyšší měrou podílí školství a sport, celkem 15 235,55 tis. Kč, převáděn je neinvestiční příspěvek zřizovatele základní a mateřské škole, převedeny dotace HMP a</w:t>
      </w:r>
      <w:r w:rsidR="00BC791F">
        <w:t xml:space="preserve"> </w:t>
      </w:r>
      <w:r w:rsidRPr="00BB6781">
        <w:t xml:space="preserve">  z programu OPP PR. Kapitola rovněž zahrnuje dotace MČ sportovním organizacím činným v Kunraticích 730,0 tis. Kč.</w:t>
      </w:r>
    </w:p>
    <w:p w:rsidR="000D3D03" w:rsidRPr="00BB6781" w:rsidRDefault="000D3D03" w:rsidP="000D3D03">
      <w:pPr>
        <w:jc w:val="both"/>
      </w:pPr>
      <w:r w:rsidRPr="00BB6781">
        <w:t>- MČ pořádá kulturní akc</w:t>
      </w:r>
      <w:r w:rsidR="008C163E" w:rsidRPr="00BB6781">
        <w:t>e pro občany</w:t>
      </w:r>
      <w:r w:rsidRPr="00BB6781">
        <w:t>, provoz místní knihovny, vydávání tiskoviny Kunratický zpravodaj, zájezdy pro seniory (celkem 2 428,99 tis. Kč).</w:t>
      </w:r>
    </w:p>
    <w:p w:rsidR="000D3D03" w:rsidRPr="00BB6781" w:rsidRDefault="000D3D03" w:rsidP="000D3D03">
      <w:pPr>
        <w:pStyle w:val="Zhlav"/>
        <w:tabs>
          <w:tab w:val="clear" w:pos="4536"/>
          <w:tab w:val="decimal" w:pos="4675"/>
          <w:tab w:val="decimal" w:pos="7293"/>
        </w:tabs>
        <w:jc w:val="both"/>
        <w:rPr>
          <w:color w:val="FF0000"/>
          <w:szCs w:val="24"/>
        </w:rPr>
      </w:pPr>
      <w:r w:rsidRPr="00BB6781">
        <w:rPr>
          <w:szCs w:val="24"/>
        </w:rPr>
        <w:t>V </w:t>
      </w:r>
      <w:r w:rsidR="008C163E" w:rsidRPr="00BB6781">
        <w:rPr>
          <w:szCs w:val="24"/>
        </w:rPr>
        <w:t>kapitole</w:t>
      </w:r>
      <w:r w:rsidRPr="00BB6781">
        <w:rPr>
          <w:szCs w:val="24"/>
        </w:rPr>
        <w:t xml:space="preserve"> městská infrastruktura se na výdaji 2 824,34 tis. nejvíce podílí údržba zeleně v obci a likvidace komunálního odpadu</w:t>
      </w:r>
    </w:p>
    <w:p w:rsidR="00197533" w:rsidRPr="00BB6781" w:rsidRDefault="00197533" w:rsidP="00197533">
      <w:pPr>
        <w:jc w:val="both"/>
      </w:pPr>
      <w:r w:rsidRPr="00BB6781">
        <w:t>Rozpočet běžných výdajů zahrnuje i rezervy vlastních zdrojů MČ (par. 6409), které nejsou čerpány, celkové procento čerpání však ovlivňují.</w:t>
      </w:r>
    </w:p>
    <w:p w:rsidR="00197533" w:rsidRDefault="00197533" w:rsidP="00197533">
      <w:pPr>
        <w:jc w:val="both"/>
      </w:pPr>
      <w:r>
        <w:t xml:space="preserve"> </w:t>
      </w:r>
    </w:p>
    <w:p w:rsidR="001542DD" w:rsidRDefault="001542DD" w:rsidP="001542DD">
      <w:pPr>
        <w:jc w:val="both"/>
      </w:pPr>
      <w:r>
        <w:lastRenderedPageBreak/>
        <w:t>MČ Praha Kunratice poskytuje neinvestiční dotace v souladu s § 10a odst. 3 zák. č. 250/2000 Sb. v platném znění na základě žadatelem podané žádosti. Poskytnuto bylo:</w:t>
      </w:r>
    </w:p>
    <w:tbl>
      <w:tblPr>
        <w:tblW w:w="8560" w:type="dxa"/>
        <w:tblCellMar>
          <w:left w:w="70" w:type="dxa"/>
          <w:right w:w="70" w:type="dxa"/>
        </w:tblCellMar>
        <w:tblLook w:val="04A0" w:firstRow="1" w:lastRow="0" w:firstColumn="1" w:lastColumn="0" w:noHBand="0" w:noVBand="1"/>
      </w:tblPr>
      <w:tblGrid>
        <w:gridCol w:w="7240"/>
        <w:gridCol w:w="1320"/>
      </w:tblGrid>
      <w:tr w:rsidR="001542DD" w:rsidTr="007E6D3F">
        <w:trPr>
          <w:trHeight w:val="300"/>
        </w:trPr>
        <w:tc>
          <w:tcPr>
            <w:tcW w:w="7240" w:type="dxa"/>
            <w:tcBorders>
              <w:top w:val="single" w:sz="8" w:space="0" w:color="auto"/>
              <w:left w:val="single" w:sz="8" w:space="0" w:color="auto"/>
              <w:bottom w:val="single" w:sz="4" w:space="0" w:color="auto"/>
              <w:right w:val="single" w:sz="4" w:space="0" w:color="auto"/>
            </w:tcBorders>
            <w:vAlign w:val="bottom"/>
            <w:hideMark/>
          </w:tcPr>
          <w:p w:rsidR="001542DD" w:rsidRDefault="001542DD" w:rsidP="00197533">
            <w:pPr>
              <w:rPr>
                <w:rFonts w:ascii="Arial" w:hAnsi="Arial" w:cs="Arial"/>
                <w:b/>
                <w:bCs/>
                <w:sz w:val="22"/>
                <w:szCs w:val="22"/>
              </w:rPr>
            </w:pPr>
            <w:r>
              <w:rPr>
                <w:rFonts w:ascii="Arial" w:hAnsi="Arial" w:cs="Arial"/>
                <w:b/>
                <w:bCs/>
                <w:sz w:val="22"/>
                <w:szCs w:val="22"/>
              </w:rPr>
              <w:t>Příjemce podpory rok 201</w:t>
            </w:r>
            <w:r w:rsidR="008C163E">
              <w:rPr>
                <w:rFonts w:ascii="Arial" w:hAnsi="Arial" w:cs="Arial"/>
                <w:b/>
                <w:bCs/>
                <w:sz w:val="22"/>
                <w:szCs w:val="22"/>
              </w:rPr>
              <w:t>9</w:t>
            </w:r>
          </w:p>
        </w:tc>
        <w:tc>
          <w:tcPr>
            <w:tcW w:w="1320" w:type="dxa"/>
            <w:tcBorders>
              <w:top w:val="single" w:sz="8" w:space="0" w:color="auto"/>
              <w:left w:val="nil"/>
              <w:bottom w:val="single" w:sz="4" w:space="0" w:color="auto"/>
              <w:right w:val="single" w:sz="8" w:space="0" w:color="auto"/>
            </w:tcBorders>
            <w:vAlign w:val="bottom"/>
            <w:hideMark/>
          </w:tcPr>
          <w:p w:rsidR="001542DD" w:rsidRDefault="001542DD" w:rsidP="007E6D3F">
            <w:pPr>
              <w:rPr>
                <w:rFonts w:ascii="Arial" w:hAnsi="Arial" w:cs="Arial"/>
                <w:b/>
                <w:bCs/>
                <w:sz w:val="22"/>
                <w:szCs w:val="22"/>
              </w:rPr>
            </w:pPr>
            <w:r>
              <w:rPr>
                <w:rFonts w:ascii="Arial" w:hAnsi="Arial" w:cs="Arial"/>
                <w:b/>
                <w:bCs/>
                <w:sz w:val="22"/>
                <w:szCs w:val="22"/>
              </w:rPr>
              <w:t>Částka Kč</w:t>
            </w:r>
          </w:p>
        </w:tc>
      </w:tr>
      <w:tr w:rsidR="001542DD" w:rsidTr="007E6D3F">
        <w:trPr>
          <w:trHeight w:val="300"/>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 </w:t>
            </w:r>
          </w:p>
        </w:tc>
        <w:tc>
          <w:tcPr>
            <w:tcW w:w="1320" w:type="dxa"/>
            <w:tcBorders>
              <w:top w:val="nil"/>
              <w:left w:val="nil"/>
              <w:bottom w:val="single" w:sz="4" w:space="0" w:color="auto"/>
              <w:right w:val="single" w:sz="8"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 </w:t>
            </w:r>
          </w:p>
        </w:tc>
      </w:tr>
      <w:tr w:rsidR="001542DD" w:rsidTr="007E6D3F">
        <w:trPr>
          <w:trHeight w:val="300"/>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b/>
                <w:bCs/>
                <w:sz w:val="22"/>
                <w:szCs w:val="22"/>
              </w:rPr>
            </w:pPr>
            <w:r>
              <w:rPr>
                <w:rFonts w:ascii="Arial" w:hAnsi="Arial" w:cs="Arial"/>
                <w:b/>
                <w:bCs/>
                <w:sz w:val="22"/>
                <w:szCs w:val="22"/>
              </w:rPr>
              <w:t xml:space="preserve">Organizace činné v sociální oblasti: </w:t>
            </w:r>
          </w:p>
        </w:tc>
        <w:tc>
          <w:tcPr>
            <w:tcW w:w="1320" w:type="dxa"/>
            <w:tcBorders>
              <w:top w:val="nil"/>
              <w:left w:val="nil"/>
              <w:bottom w:val="single" w:sz="4" w:space="0" w:color="auto"/>
              <w:right w:val="single" w:sz="8"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 </w:t>
            </w:r>
          </w:p>
        </w:tc>
      </w:tr>
      <w:tr w:rsidR="001542DD" w:rsidTr="007E6D3F">
        <w:trPr>
          <w:trHeight w:val="570"/>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Organizační jednotka Svazu tělesně postižených v ČR, Místní organizace Flora, Kunratice</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20 000,0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Rehabilitace Hornomlýnská, o.s., Kunratice</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20 000,0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Křižovatka CZ, z.s., Počítačový klub U Zeleného ptáka, Kunratice</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20 000,0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 </w:t>
            </w:r>
          </w:p>
        </w:tc>
        <w:tc>
          <w:tcPr>
            <w:tcW w:w="1320" w:type="dxa"/>
            <w:tcBorders>
              <w:top w:val="nil"/>
              <w:left w:val="nil"/>
              <w:bottom w:val="single" w:sz="4" w:space="0" w:color="auto"/>
              <w:right w:val="single" w:sz="8"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 </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b/>
                <w:bCs/>
                <w:sz w:val="22"/>
                <w:szCs w:val="22"/>
              </w:rPr>
            </w:pPr>
            <w:r>
              <w:rPr>
                <w:rFonts w:ascii="Arial" w:hAnsi="Arial" w:cs="Arial"/>
                <w:b/>
                <w:bCs/>
                <w:sz w:val="22"/>
                <w:szCs w:val="22"/>
              </w:rPr>
              <w:t>Organizace, které zajišťují sportovní výchovu mládeže:</w:t>
            </w:r>
          </w:p>
        </w:tc>
        <w:tc>
          <w:tcPr>
            <w:tcW w:w="1320" w:type="dxa"/>
            <w:tcBorders>
              <w:top w:val="nil"/>
              <w:left w:val="nil"/>
              <w:bottom w:val="single" w:sz="4" w:space="0" w:color="auto"/>
              <w:right w:val="single" w:sz="8"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 </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SK Slovan Kunratice, z.s. Kunratice</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300 000,0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TJ Sokol Kunratice</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2</w:t>
            </w:r>
            <w:r w:rsidR="008C163E">
              <w:rPr>
                <w:rFonts w:ascii="Arial" w:hAnsi="Arial" w:cs="Arial"/>
                <w:sz w:val="22"/>
                <w:szCs w:val="22"/>
              </w:rPr>
              <w:t>0</w:t>
            </w:r>
            <w:r>
              <w:rPr>
                <w:rFonts w:ascii="Arial" w:hAnsi="Arial" w:cs="Arial"/>
                <w:sz w:val="22"/>
                <w:szCs w:val="22"/>
              </w:rPr>
              <w:t>0 000,0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Z.S. Start</w:t>
            </w:r>
            <w:r w:rsidRPr="00D211D7">
              <w:rPr>
                <w:rFonts w:ascii="Arial" w:hAnsi="Arial" w:cs="Arial"/>
                <w:sz w:val="22"/>
                <w:szCs w:val="22"/>
              </w:rPr>
              <w:t>98</w:t>
            </w:r>
            <w:r>
              <w:rPr>
                <w:rFonts w:ascii="Arial" w:hAnsi="Arial" w:cs="Arial"/>
                <w:sz w:val="22"/>
                <w:szCs w:val="22"/>
              </w:rPr>
              <w:t xml:space="preserve"> Praha Kunratice</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200 000,0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 </w:t>
            </w:r>
          </w:p>
        </w:tc>
        <w:tc>
          <w:tcPr>
            <w:tcW w:w="1320" w:type="dxa"/>
            <w:tcBorders>
              <w:top w:val="nil"/>
              <w:left w:val="nil"/>
              <w:bottom w:val="single" w:sz="4" w:space="0" w:color="auto"/>
              <w:right w:val="single" w:sz="8"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 </w:t>
            </w:r>
          </w:p>
        </w:tc>
      </w:tr>
      <w:tr w:rsidR="001542DD" w:rsidTr="007E6D3F">
        <w:trPr>
          <w:trHeight w:val="300"/>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b/>
                <w:bCs/>
                <w:sz w:val="22"/>
                <w:szCs w:val="22"/>
              </w:rPr>
            </w:pPr>
            <w:r>
              <w:rPr>
                <w:rFonts w:ascii="Arial" w:hAnsi="Arial" w:cs="Arial"/>
                <w:b/>
                <w:bCs/>
                <w:sz w:val="22"/>
                <w:szCs w:val="22"/>
              </w:rPr>
              <w:t>Ostatní organizace s veřejně prospěšnou činností:</w:t>
            </w:r>
          </w:p>
        </w:tc>
        <w:tc>
          <w:tcPr>
            <w:tcW w:w="1320" w:type="dxa"/>
            <w:tcBorders>
              <w:top w:val="nil"/>
              <w:left w:val="nil"/>
              <w:bottom w:val="single" w:sz="4" w:space="0" w:color="auto"/>
              <w:right w:val="single" w:sz="8"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 </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Junák - český skaut, Středisko Paprsek Praha Kunratice</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20 000,0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Římskokatolická farnost u kostela Sv. Jakuba Staršího Praha Kunratice</w:t>
            </w:r>
          </w:p>
        </w:tc>
        <w:tc>
          <w:tcPr>
            <w:tcW w:w="1320" w:type="dxa"/>
            <w:tcBorders>
              <w:top w:val="nil"/>
              <w:left w:val="nil"/>
              <w:bottom w:val="single" w:sz="4" w:space="0" w:color="auto"/>
              <w:right w:val="single" w:sz="8" w:space="0" w:color="auto"/>
            </w:tcBorders>
            <w:vAlign w:val="bottom"/>
            <w:hideMark/>
          </w:tcPr>
          <w:p w:rsidR="001542DD" w:rsidRDefault="00CD245C" w:rsidP="00CD245C">
            <w:pPr>
              <w:jc w:val="right"/>
              <w:rPr>
                <w:rFonts w:ascii="Arial" w:hAnsi="Arial" w:cs="Arial"/>
                <w:sz w:val="22"/>
                <w:szCs w:val="22"/>
              </w:rPr>
            </w:pPr>
            <w:r>
              <w:rPr>
                <w:rFonts w:ascii="Arial" w:hAnsi="Arial" w:cs="Arial"/>
                <w:sz w:val="22"/>
                <w:szCs w:val="22"/>
              </w:rPr>
              <w:t>2</w:t>
            </w:r>
            <w:r w:rsidR="008C163E">
              <w:rPr>
                <w:rFonts w:ascii="Arial" w:hAnsi="Arial" w:cs="Arial"/>
                <w:sz w:val="22"/>
                <w:szCs w:val="22"/>
              </w:rPr>
              <w:t>5</w:t>
            </w:r>
            <w:r>
              <w:rPr>
                <w:rFonts w:ascii="Arial" w:hAnsi="Arial" w:cs="Arial"/>
                <w:sz w:val="22"/>
                <w:szCs w:val="22"/>
              </w:rPr>
              <w:t>0</w:t>
            </w:r>
            <w:r w:rsidR="001542DD">
              <w:rPr>
                <w:rFonts w:ascii="Arial" w:hAnsi="Arial" w:cs="Arial"/>
                <w:sz w:val="22"/>
                <w:szCs w:val="22"/>
              </w:rPr>
              <w:t xml:space="preserve">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CD245C" w:rsidP="007E6D3F">
            <w:pPr>
              <w:rPr>
                <w:rFonts w:ascii="Arial" w:hAnsi="Arial" w:cs="Arial"/>
                <w:sz w:val="22"/>
                <w:szCs w:val="22"/>
              </w:rPr>
            </w:pPr>
            <w:r>
              <w:rPr>
                <w:rFonts w:ascii="Arial" w:hAnsi="Arial" w:cs="Arial"/>
                <w:sz w:val="22"/>
                <w:szCs w:val="22"/>
              </w:rPr>
              <w:t>Sport4Students</w:t>
            </w:r>
            <w:r w:rsidR="001542DD">
              <w:rPr>
                <w:rFonts w:ascii="Arial" w:hAnsi="Arial" w:cs="Arial"/>
                <w:sz w:val="22"/>
                <w:szCs w:val="22"/>
              </w:rPr>
              <w:t>, z..s.</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10 000,0</w:t>
            </w:r>
          </w:p>
        </w:tc>
      </w:tr>
      <w:tr w:rsidR="001137EB" w:rsidTr="007E6D3F">
        <w:trPr>
          <w:trHeight w:val="285"/>
        </w:trPr>
        <w:tc>
          <w:tcPr>
            <w:tcW w:w="7240" w:type="dxa"/>
            <w:tcBorders>
              <w:top w:val="nil"/>
              <w:left w:val="single" w:sz="8" w:space="0" w:color="auto"/>
              <w:bottom w:val="single" w:sz="4" w:space="0" w:color="auto"/>
              <w:right w:val="single" w:sz="4" w:space="0" w:color="auto"/>
            </w:tcBorders>
            <w:vAlign w:val="bottom"/>
          </w:tcPr>
          <w:p w:rsidR="001137EB" w:rsidRDefault="001137EB" w:rsidP="007E6D3F">
            <w:pPr>
              <w:rPr>
                <w:rFonts w:ascii="Arial" w:hAnsi="Arial" w:cs="Arial"/>
                <w:sz w:val="22"/>
                <w:szCs w:val="22"/>
              </w:rPr>
            </w:pPr>
            <w:r>
              <w:rPr>
                <w:rFonts w:ascii="Arial" w:hAnsi="Arial" w:cs="Arial"/>
                <w:sz w:val="22"/>
                <w:szCs w:val="22"/>
              </w:rPr>
              <w:t>Jihoměstská sociální, a.s.</w:t>
            </w:r>
          </w:p>
        </w:tc>
        <w:tc>
          <w:tcPr>
            <w:tcW w:w="1320" w:type="dxa"/>
            <w:tcBorders>
              <w:top w:val="nil"/>
              <w:left w:val="nil"/>
              <w:bottom w:val="single" w:sz="4" w:space="0" w:color="auto"/>
              <w:right w:val="single" w:sz="8" w:space="0" w:color="auto"/>
            </w:tcBorders>
            <w:vAlign w:val="bottom"/>
          </w:tcPr>
          <w:p w:rsidR="001137EB" w:rsidRDefault="001137EB" w:rsidP="00CD245C">
            <w:pPr>
              <w:jc w:val="right"/>
              <w:rPr>
                <w:rFonts w:ascii="Arial" w:hAnsi="Arial" w:cs="Arial"/>
                <w:sz w:val="22"/>
                <w:szCs w:val="22"/>
              </w:rPr>
            </w:pPr>
            <w:r>
              <w:rPr>
                <w:rFonts w:ascii="Arial" w:hAnsi="Arial" w:cs="Arial"/>
                <w:sz w:val="22"/>
                <w:szCs w:val="22"/>
              </w:rPr>
              <w:t>15 000,0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Záchranná brigáda kynologů Praha</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20 000,0</w:t>
            </w:r>
          </w:p>
        </w:tc>
      </w:tr>
      <w:tr w:rsidR="001137EB" w:rsidTr="007E6D3F">
        <w:trPr>
          <w:trHeight w:val="285"/>
        </w:trPr>
        <w:tc>
          <w:tcPr>
            <w:tcW w:w="7240" w:type="dxa"/>
            <w:tcBorders>
              <w:top w:val="nil"/>
              <w:left w:val="single" w:sz="8" w:space="0" w:color="auto"/>
              <w:bottom w:val="single" w:sz="4" w:space="0" w:color="auto"/>
              <w:right w:val="single" w:sz="4" w:space="0" w:color="auto"/>
            </w:tcBorders>
            <w:vAlign w:val="bottom"/>
          </w:tcPr>
          <w:p w:rsidR="001137EB" w:rsidRDefault="001137EB" w:rsidP="001137EB">
            <w:pPr>
              <w:rPr>
                <w:rFonts w:ascii="Arial" w:hAnsi="Arial" w:cs="Arial"/>
                <w:sz w:val="22"/>
                <w:szCs w:val="22"/>
              </w:rPr>
            </w:pPr>
            <w:r>
              <w:rPr>
                <w:rFonts w:ascii="Arial" w:hAnsi="Arial" w:cs="Arial"/>
                <w:sz w:val="22"/>
                <w:szCs w:val="22"/>
              </w:rPr>
              <w:t>NaKole, o.s.</w:t>
            </w:r>
          </w:p>
        </w:tc>
        <w:tc>
          <w:tcPr>
            <w:tcW w:w="1320" w:type="dxa"/>
            <w:tcBorders>
              <w:top w:val="nil"/>
              <w:left w:val="nil"/>
              <w:bottom w:val="single" w:sz="4" w:space="0" w:color="auto"/>
              <w:right w:val="single" w:sz="8" w:space="0" w:color="auto"/>
            </w:tcBorders>
            <w:vAlign w:val="bottom"/>
          </w:tcPr>
          <w:p w:rsidR="001137EB" w:rsidRDefault="001137EB" w:rsidP="00CD245C">
            <w:pPr>
              <w:jc w:val="right"/>
              <w:rPr>
                <w:rFonts w:ascii="Arial" w:hAnsi="Arial" w:cs="Arial"/>
                <w:sz w:val="22"/>
                <w:szCs w:val="22"/>
              </w:rPr>
            </w:pPr>
            <w:r>
              <w:rPr>
                <w:rFonts w:ascii="Arial" w:hAnsi="Arial" w:cs="Arial"/>
                <w:sz w:val="22"/>
                <w:szCs w:val="22"/>
              </w:rPr>
              <w:t>5 000,0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Český svaz chovatelů, Základní organizace Praha 4 Kunratice</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10 000,0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Občanské sdružení Rozvoj Zeleného údolí, o.s.</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12 000,0</w:t>
            </w:r>
          </w:p>
        </w:tc>
      </w:tr>
      <w:tr w:rsidR="001137EB" w:rsidTr="007E6D3F">
        <w:trPr>
          <w:trHeight w:val="285"/>
        </w:trPr>
        <w:tc>
          <w:tcPr>
            <w:tcW w:w="7240" w:type="dxa"/>
            <w:tcBorders>
              <w:top w:val="nil"/>
              <w:left w:val="single" w:sz="8" w:space="0" w:color="auto"/>
              <w:bottom w:val="single" w:sz="4" w:space="0" w:color="auto"/>
              <w:right w:val="single" w:sz="4" w:space="0" w:color="auto"/>
            </w:tcBorders>
            <w:vAlign w:val="bottom"/>
          </w:tcPr>
          <w:p w:rsidR="001137EB" w:rsidRDefault="00F67E4A" w:rsidP="007E6D3F">
            <w:pPr>
              <w:rPr>
                <w:rFonts w:ascii="Arial" w:hAnsi="Arial" w:cs="Arial"/>
                <w:sz w:val="22"/>
                <w:szCs w:val="22"/>
              </w:rPr>
            </w:pPr>
            <w:r>
              <w:rPr>
                <w:rFonts w:ascii="Arial" w:hAnsi="Arial" w:cs="Arial"/>
                <w:sz w:val="22"/>
                <w:szCs w:val="22"/>
              </w:rPr>
              <w:t>Občanský spolek Pro Kunratice, z.s.</w:t>
            </w:r>
          </w:p>
        </w:tc>
        <w:tc>
          <w:tcPr>
            <w:tcW w:w="1320" w:type="dxa"/>
            <w:tcBorders>
              <w:top w:val="nil"/>
              <w:left w:val="nil"/>
              <w:bottom w:val="single" w:sz="4" w:space="0" w:color="auto"/>
              <w:right w:val="single" w:sz="8" w:space="0" w:color="auto"/>
            </w:tcBorders>
            <w:vAlign w:val="bottom"/>
          </w:tcPr>
          <w:p w:rsidR="001137EB" w:rsidRDefault="00F67E4A" w:rsidP="00CD245C">
            <w:pPr>
              <w:jc w:val="right"/>
              <w:rPr>
                <w:rFonts w:ascii="Arial" w:hAnsi="Arial" w:cs="Arial"/>
                <w:sz w:val="22"/>
                <w:szCs w:val="22"/>
              </w:rPr>
            </w:pPr>
            <w:r>
              <w:rPr>
                <w:rFonts w:ascii="Arial" w:hAnsi="Arial" w:cs="Arial"/>
                <w:sz w:val="22"/>
                <w:szCs w:val="22"/>
              </w:rPr>
              <w:t>10 000,0</w:t>
            </w:r>
          </w:p>
        </w:tc>
      </w:tr>
      <w:tr w:rsidR="00CD245C" w:rsidTr="007E6D3F">
        <w:trPr>
          <w:trHeight w:val="285"/>
        </w:trPr>
        <w:tc>
          <w:tcPr>
            <w:tcW w:w="7240" w:type="dxa"/>
            <w:tcBorders>
              <w:top w:val="nil"/>
              <w:left w:val="single" w:sz="8" w:space="0" w:color="auto"/>
              <w:bottom w:val="single" w:sz="4" w:space="0" w:color="auto"/>
              <w:right w:val="single" w:sz="4" w:space="0" w:color="auto"/>
            </w:tcBorders>
            <w:vAlign w:val="bottom"/>
          </w:tcPr>
          <w:p w:rsidR="00CD245C" w:rsidRDefault="00CD245C" w:rsidP="001137EB">
            <w:pPr>
              <w:rPr>
                <w:rFonts w:ascii="Arial" w:hAnsi="Arial" w:cs="Arial"/>
                <w:sz w:val="22"/>
                <w:szCs w:val="22"/>
              </w:rPr>
            </w:pPr>
            <w:r>
              <w:rPr>
                <w:rFonts w:ascii="Arial" w:hAnsi="Arial" w:cs="Arial"/>
                <w:sz w:val="22"/>
                <w:szCs w:val="22"/>
              </w:rPr>
              <w:t>Tenis Golf Club, spolek</w:t>
            </w:r>
            <w:r w:rsidR="001137EB">
              <w:rPr>
                <w:rFonts w:ascii="Arial" w:hAnsi="Arial" w:cs="Arial"/>
                <w:sz w:val="22"/>
                <w:szCs w:val="22"/>
              </w:rPr>
              <w:t>-podpora mládeže</w:t>
            </w:r>
          </w:p>
        </w:tc>
        <w:tc>
          <w:tcPr>
            <w:tcW w:w="1320" w:type="dxa"/>
            <w:tcBorders>
              <w:top w:val="nil"/>
              <w:left w:val="nil"/>
              <w:bottom w:val="single" w:sz="4" w:space="0" w:color="auto"/>
              <w:right w:val="single" w:sz="8" w:space="0" w:color="auto"/>
            </w:tcBorders>
            <w:vAlign w:val="bottom"/>
          </w:tcPr>
          <w:p w:rsidR="00CD245C" w:rsidRDefault="008C163E" w:rsidP="00CD245C">
            <w:pPr>
              <w:jc w:val="right"/>
              <w:rPr>
                <w:rFonts w:ascii="Arial" w:hAnsi="Arial" w:cs="Arial"/>
                <w:sz w:val="22"/>
                <w:szCs w:val="22"/>
              </w:rPr>
            </w:pPr>
            <w:r>
              <w:rPr>
                <w:rFonts w:ascii="Arial" w:hAnsi="Arial" w:cs="Arial"/>
                <w:sz w:val="22"/>
                <w:szCs w:val="22"/>
              </w:rPr>
              <w:t>2</w:t>
            </w:r>
            <w:r w:rsidR="00CD245C">
              <w:rPr>
                <w:rFonts w:ascii="Arial" w:hAnsi="Arial" w:cs="Arial"/>
                <w:sz w:val="22"/>
                <w:szCs w:val="22"/>
              </w:rPr>
              <w:t>0 000,0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Žít spolu o.p.s. Praha 4 Kunratice</w:t>
            </w:r>
          </w:p>
        </w:tc>
        <w:tc>
          <w:tcPr>
            <w:tcW w:w="1320" w:type="dxa"/>
            <w:tcBorders>
              <w:top w:val="nil"/>
              <w:left w:val="nil"/>
              <w:bottom w:val="single" w:sz="4" w:space="0" w:color="auto"/>
              <w:right w:val="single" w:sz="8" w:space="0" w:color="auto"/>
            </w:tcBorders>
            <w:vAlign w:val="bottom"/>
            <w:hideMark/>
          </w:tcPr>
          <w:p w:rsidR="001542DD" w:rsidRDefault="001542DD" w:rsidP="00CD245C">
            <w:pPr>
              <w:jc w:val="right"/>
              <w:rPr>
                <w:rFonts w:ascii="Arial" w:hAnsi="Arial" w:cs="Arial"/>
                <w:sz w:val="22"/>
                <w:szCs w:val="22"/>
              </w:rPr>
            </w:pPr>
            <w:r>
              <w:rPr>
                <w:rFonts w:ascii="Arial" w:hAnsi="Arial" w:cs="Arial"/>
                <w:sz w:val="22"/>
                <w:szCs w:val="22"/>
              </w:rPr>
              <w:t>2</w:t>
            </w:r>
            <w:r w:rsidR="008C163E">
              <w:rPr>
                <w:rFonts w:ascii="Arial" w:hAnsi="Arial" w:cs="Arial"/>
                <w:sz w:val="22"/>
                <w:szCs w:val="22"/>
              </w:rPr>
              <w:t>0</w:t>
            </w:r>
            <w:r>
              <w:rPr>
                <w:rFonts w:ascii="Arial" w:hAnsi="Arial" w:cs="Arial"/>
                <w:sz w:val="22"/>
                <w:szCs w:val="22"/>
              </w:rPr>
              <w:t xml:space="preserve">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hideMark/>
          </w:tcPr>
          <w:p w:rsidR="001542DD" w:rsidRDefault="001542DD" w:rsidP="007E6D3F">
            <w:pPr>
              <w:rPr>
                <w:rFonts w:ascii="Arial" w:hAnsi="Arial" w:cs="Arial"/>
                <w:sz w:val="22"/>
                <w:szCs w:val="22"/>
              </w:rPr>
            </w:pPr>
            <w:r>
              <w:rPr>
                <w:rFonts w:ascii="Arial" w:hAnsi="Arial" w:cs="Arial"/>
                <w:sz w:val="22"/>
                <w:szCs w:val="22"/>
              </w:rPr>
              <w:t>Polovina nebe, o.p.s.</w:t>
            </w:r>
          </w:p>
        </w:tc>
        <w:tc>
          <w:tcPr>
            <w:tcW w:w="1320" w:type="dxa"/>
            <w:tcBorders>
              <w:top w:val="nil"/>
              <w:left w:val="nil"/>
              <w:bottom w:val="single" w:sz="4" w:space="0" w:color="auto"/>
              <w:right w:val="single" w:sz="8" w:space="0" w:color="auto"/>
            </w:tcBorders>
            <w:vAlign w:val="bottom"/>
            <w:hideMark/>
          </w:tcPr>
          <w:p w:rsidR="001542DD" w:rsidRDefault="001542DD" w:rsidP="00CD245C">
            <w:pPr>
              <w:rPr>
                <w:rFonts w:ascii="Arial" w:hAnsi="Arial" w:cs="Arial"/>
                <w:sz w:val="22"/>
                <w:szCs w:val="22"/>
              </w:rPr>
            </w:pPr>
            <w:r>
              <w:rPr>
                <w:rFonts w:ascii="Arial" w:hAnsi="Arial" w:cs="Arial"/>
                <w:sz w:val="22"/>
                <w:szCs w:val="22"/>
              </w:rPr>
              <w:t xml:space="preserve">      </w:t>
            </w:r>
            <w:r w:rsidR="00F67E4A">
              <w:rPr>
                <w:rFonts w:ascii="Arial" w:hAnsi="Arial" w:cs="Arial"/>
                <w:sz w:val="22"/>
                <w:szCs w:val="22"/>
              </w:rPr>
              <w:t xml:space="preserve"> </w:t>
            </w:r>
            <w:r w:rsidR="00981E05">
              <w:rPr>
                <w:rFonts w:ascii="Arial" w:hAnsi="Arial" w:cs="Arial"/>
                <w:sz w:val="22"/>
                <w:szCs w:val="22"/>
              </w:rPr>
              <w:t>5</w:t>
            </w:r>
            <w:r>
              <w:rPr>
                <w:rFonts w:ascii="Arial" w:hAnsi="Arial" w:cs="Arial"/>
                <w:sz w:val="22"/>
                <w:szCs w:val="22"/>
              </w:rPr>
              <w:t> 000,0</w:t>
            </w:r>
          </w:p>
        </w:tc>
      </w:tr>
      <w:tr w:rsidR="001542DD" w:rsidTr="007E6D3F">
        <w:trPr>
          <w:trHeight w:val="285"/>
        </w:trPr>
        <w:tc>
          <w:tcPr>
            <w:tcW w:w="7240" w:type="dxa"/>
            <w:tcBorders>
              <w:top w:val="nil"/>
              <w:left w:val="single" w:sz="8" w:space="0" w:color="auto"/>
              <w:bottom w:val="single" w:sz="4" w:space="0" w:color="auto"/>
              <w:right w:val="single" w:sz="4" w:space="0" w:color="auto"/>
            </w:tcBorders>
            <w:vAlign w:val="bottom"/>
          </w:tcPr>
          <w:p w:rsidR="001542DD" w:rsidRDefault="001542DD" w:rsidP="007E6D3F">
            <w:pPr>
              <w:rPr>
                <w:rFonts w:ascii="Arial" w:hAnsi="Arial" w:cs="Arial"/>
                <w:sz w:val="22"/>
                <w:szCs w:val="22"/>
              </w:rPr>
            </w:pPr>
          </w:p>
        </w:tc>
        <w:tc>
          <w:tcPr>
            <w:tcW w:w="1320" w:type="dxa"/>
            <w:tcBorders>
              <w:top w:val="nil"/>
              <w:left w:val="nil"/>
              <w:bottom w:val="single" w:sz="4" w:space="0" w:color="auto"/>
              <w:right w:val="single" w:sz="8" w:space="0" w:color="auto"/>
            </w:tcBorders>
            <w:vAlign w:val="bottom"/>
          </w:tcPr>
          <w:p w:rsidR="001542DD" w:rsidRDefault="001542DD" w:rsidP="007E6D3F">
            <w:pPr>
              <w:rPr>
                <w:rFonts w:ascii="Arial" w:hAnsi="Arial" w:cs="Arial"/>
                <w:sz w:val="22"/>
                <w:szCs w:val="22"/>
              </w:rPr>
            </w:pPr>
          </w:p>
        </w:tc>
      </w:tr>
      <w:tr w:rsidR="001542DD" w:rsidRPr="001F036B" w:rsidTr="007E6D3F">
        <w:trPr>
          <w:trHeight w:val="315"/>
        </w:trPr>
        <w:tc>
          <w:tcPr>
            <w:tcW w:w="7240" w:type="dxa"/>
            <w:tcBorders>
              <w:top w:val="nil"/>
              <w:left w:val="single" w:sz="8" w:space="0" w:color="auto"/>
              <w:bottom w:val="single" w:sz="8" w:space="0" w:color="auto"/>
              <w:right w:val="single" w:sz="4" w:space="0" w:color="auto"/>
            </w:tcBorders>
            <w:vAlign w:val="bottom"/>
            <w:hideMark/>
          </w:tcPr>
          <w:p w:rsidR="001542DD" w:rsidRDefault="001542DD" w:rsidP="007E6D3F">
            <w:pPr>
              <w:rPr>
                <w:rFonts w:ascii="Arial" w:hAnsi="Arial" w:cs="Arial"/>
                <w:b/>
                <w:bCs/>
                <w:sz w:val="22"/>
                <w:szCs w:val="22"/>
              </w:rPr>
            </w:pPr>
            <w:r>
              <w:rPr>
                <w:rFonts w:ascii="Arial" w:hAnsi="Arial" w:cs="Arial"/>
                <w:b/>
                <w:bCs/>
                <w:sz w:val="22"/>
                <w:szCs w:val="22"/>
              </w:rPr>
              <w:t>Celkem příspěvky</w:t>
            </w:r>
          </w:p>
        </w:tc>
        <w:tc>
          <w:tcPr>
            <w:tcW w:w="1320" w:type="dxa"/>
            <w:tcBorders>
              <w:top w:val="nil"/>
              <w:left w:val="nil"/>
              <w:bottom w:val="single" w:sz="8" w:space="0" w:color="auto"/>
              <w:right w:val="single" w:sz="8" w:space="0" w:color="auto"/>
            </w:tcBorders>
            <w:vAlign w:val="bottom"/>
            <w:hideMark/>
          </w:tcPr>
          <w:p w:rsidR="001542DD" w:rsidRPr="001F036B" w:rsidRDefault="00CD245C" w:rsidP="00CD245C">
            <w:pPr>
              <w:jc w:val="right"/>
              <w:rPr>
                <w:rFonts w:ascii="Arial" w:hAnsi="Arial" w:cs="Arial"/>
                <w:b/>
                <w:bCs/>
                <w:sz w:val="22"/>
                <w:szCs w:val="22"/>
              </w:rPr>
            </w:pPr>
            <w:r>
              <w:rPr>
                <w:rFonts w:ascii="Arial" w:hAnsi="Arial" w:cs="Arial"/>
                <w:b/>
                <w:bCs/>
                <w:sz w:val="22"/>
                <w:szCs w:val="22"/>
              </w:rPr>
              <w:t>1 </w:t>
            </w:r>
            <w:r w:rsidR="00165DF6">
              <w:rPr>
                <w:rFonts w:ascii="Arial" w:hAnsi="Arial" w:cs="Arial"/>
                <w:b/>
                <w:bCs/>
                <w:sz w:val="22"/>
                <w:szCs w:val="22"/>
              </w:rPr>
              <w:t>157</w:t>
            </w:r>
            <w:r>
              <w:rPr>
                <w:rFonts w:ascii="Arial" w:hAnsi="Arial" w:cs="Arial"/>
                <w:b/>
                <w:bCs/>
                <w:sz w:val="22"/>
                <w:szCs w:val="22"/>
              </w:rPr>
              <w:t xml:space="preserve"> 0</w:t>
            </w:r>
            <w:r w:rsidR="001542DD" w:rsidRPr="001F036B">
              <w:rPr>
                <w:rFonts w:ascii="Arial" w:hAnsi="Arial" w:cs="Arial"/>
                <w:b/>
                <w:bCs/>
                <w:sz w:val="22"/>
                <w:szCs w:val="22"/>
              </w:rPr>
              <w:t>00,0</w:t>
            </w:r>
          </w:p>
        </w:tc>
      </w:tr>
    </w:tbl>
    <w:p w:rsidR="001A3919" w:rsidRPr="00B81CE5" w:rsidRDefault="00B81CE5" w:rsidP="001542DD">
      <w:r>
        <w:t>Na podpory je také rozdělována dotace z odvodu z her.</w:t>
      </w:r>
    </w:p>
    <w:p w:rsidR="00B81CE5" w:rsidRDefault="00B81CE5" w:rsidP="001542DD">
      <w:pPr>
        <w:rPr>
          <w:b/>
        </w:rPr>
      </w:pPr>
    </w:p>
    <w:p w:rsidR="00B81CE5" w:rsidRDefault="00B81CE5" w:rsidP="001542DD">
      <w:pPr>
        <w:rPr>
          <w:b/>
        </w:rPr>
      </w:pPr>
    </w:p>
    <w:p w:rsidR="003E51DB" w:rsidRDefault="003E51DB" w:rsidP="003E51DB">
      <w:pPr>
        <w:rPr>
          <w:b/>
        </w:rPr>
      </w:pPr>
      <w:r>
        <w:rPr>
          <w:b/>
        </w:rPr>
        <w:t>Kapitálové výdaje</w:t>
      </w:r>
    </w:p>
    <w:p w:rsidR="00265AF9" w:rsidRPr="00265AF9" w:rsidRDefault="00265AF9" w:rsidP="00265AF9">
      <w:pPr>
        <w:jc w:val="both"/>
      </w:pPr>
      <w:r w:rsidRPr="00265AF9">
        <w:t>Vynaloženo bylo 29 883,21 tis. Kč (dle ORJ tis. Kč)</w:t>
      </w:r>
    </w:p>
    <w:p w:rsidR="00265AF9" w:rsidRPr="00265AF9" w:rsidRDefault="00265AF9" w:rsidP="00265AF9">
      <w:pPr>
        <w:tabs>
          <w:tab w:val="decimal" w:pos="3686"/>
        </w:tabs>
        <w:jc w:val="both"/>
      </w:pPr>
      <w:r w:rsidRPr="00265AF9">
        <w:t>02/23 měst. infrastruktura:</w:t>
      </w:r>
      <w:r w:rsidRPr="00265AF9">
        <w:tab/>
        <w:t>1 042,71 Revitalizace rybníka Ohrada</w:t>
      </w:r>
    </w:p>
    <w:p w:rsidR="00265AF9" w:rsidRPr="00265AF9" w:rsidRDefault="00265AF9" w:rsidP="00265AF9">
      <w:pPr>
        <w:tabs>
          <w:tab w:val="decimal" w:pos="3828"/>
        </w:tabs>
        <w:jc w:val="both"/>
      </w:pPr>
      <w:r w:rsidRPr="00265AF9">
        <w:t>03/22 doprava:                     24 122,61 Plošné rekonstrukce komunikací, chodníky, výkup   04/31 vzdělávání:                        2 703,52 zahrnuje:</w:t>
      </w:r>
    </w:p>
    <w:p w:rsidR="00265AF9" w:rsidRPr="00265AF9" w:rsidRDefault="00265AF9" w:rsidP="00265AF9">
      <w:pPr>
        <w:tabs>
          <w:tab w:val="decimal" w:pos="993"/>
        </w:tabs>
        <w:rPr>
          <w:i/>
        </w:rPr>
      </w:pPr>
      <w:r w:rsidRPr="00265AF9">
        <w:tab/>
      </w:r>
      <w:r w:rsidRPr="00265AF9">
        <w:rPr>
          <w:i/>
        </w:rPr>
        <w:t>1 640,29 tis.- MŠ Kunratice-pořízení venkovních žaluzií,rek. výtahu, rek. ZTI</w:t>
      </w:r>
    </w:p>
    <w:p w:rsidR="00265AF9" w:rsidRPr="00265AF9" w:rsidRDefault="00265AF9" w:rsidP="00265AF9">
      <w:pPr>
        <w:tabs>
          <w:tab w:val="decimal" w:pos="993"/>
        </w:tabs>
        <w:rPr>
          <w:i/>
        </w:rPr>
      </w:pPr>
      <w:r w:rsidRPr="00265AF9">
        <w:rPr>
          <w:i/>
        </w:rPr>
        <w:tab/>
        <w:t>111,59 tis.- Rekonstrukce ZŠ Kunratice stará budova</w:t>
      </w:r>
    </w:p>
    <w:p w:rsidR="00265AF9" w:rsidRPr="00265AF9" w:rsidRDefault="00265AF9" w:rsidP="00265AF9">
      <w:pPr>
        <w:tabs>
          <w:tab w:val="decimal" w:pos="993"/>
        </w:tabs>
        <w:rPr>
          <w:i/>
        </w:rPr>
      </w:pPr>
      <w:r w:rsidRPr="00265AF9">
        <w:rPr>
          <w:i/>
        </w:rPr>
        <w:t xml:space="preserve">          951,64 tis.- převody investiční části programů OP PPR MŠ a ZŠ</w:t>
      </w:r>
    </w:p>
    <w:p w:rsidR="00265AF9" w:rsidRPr="00265AF9" w:rsidRDefault="00265AF9" w:rsidP="00265AF9">
      <w:pPr>
        <w:tabs>
          <w:tab w:val="decimal" w:pos="993"/>
          <w:tab w:val="decimal" w:pos="3686"/>
        </w:tabs>
      </w:pPr>
      <w:r w:rsidRPr="00265AF9">
        <w:t>04/34 tělovýchova</w:t>
      </w:r>
      <w:r w:rsidRPr="00265AF9">
        <w:tab/>
        <w:t xml:space="preserve">                    631,25 hrací prvky hřišť, rek. fotbal. stadionu</w:t>
      </w:r>
    </w:p>
    <w:p w:rsidR="00265AF9" w:rsidRPr="00265AF9" w:rsidRDefault="00265AF9" w:rsidP="00265AF9">
      <w:pPr>
        <w:tabs>
          <w:tab w:val="decimal" w:pos="993"/>
          <w:tab w:val="decimal" w:pos="3686"/>
        </w:tabs>
      </w:pPr>
      <w:r w:rsidRPr="00265AF9">
        <w:t>05/43 zdravotnictví a soc. služby  388,18 žaluzie DCHB, PD jímání dešťových vod DCHB</w:t>
      </w:r>
    </w:p>
    <w:p w:rsidR="00265AF9" w:rsidRPr="00265AF9" w:rsidRDefault="00265AF9" w:rsidP="00265AF9">
      <w:pPr>
        <w:tabs>
          <w:tab w:val="decimal" w:pos="3686"/>
        </w:tabs>
      </w:pPr>
      <w:r w:rsidRPr="00265AF9">
        <w:t>07/55 bezpečnost</w:t>
      </w:r>
      <w:r w:rsidRPr="00265AF9">
        <w:tab/>
        <w:t>785,58 rek. HZ, vybavení JSDH (kompresor, defibrilátor)</w:t>
      </w:r>
    </w:p>
    <w:p w:rsidR="00265AF9" w:rsidRPr="00265AF9" w:rsidRDefault="00265AF9" w:rsidP="00265AF9">
      <w:pPr>
        <w:tabs>
          <w:tab w:val="decimal" w:pos="993"/>
          <w:tab w:val="decimal" w:pos="3402"/>
        </w:tabs>
      </w:pPr>
      <w:r w:rsidRPr="00265AF9">
        <w:t xml:space="preserve">08/36 komunální služby…         194,56 pořízení klimatizace obj. Golčova 34, rek. pomníků                             </w:t>
      </w:r>
    </w:p>
    <w:p w:rsidR="00265AF9" w:rsidRPr="00265AF9" w:rsidRDefault="00265AF9" w:rsidP="00265AF9">
      <w:pPr>
        <w:pStyle w:val="Zhlav"/>
        <w:tabs>
          <w:tab w:val="clear" w:pos="4536"/>
          <w:tab w:val="decimal" w:pos="3544"/>
          <w:tab w:val="decimal" w:pos="6660"/>
          <w:tab w:val="decimal" w:pos="7920"/>
        </w:tabs>
        <w:jc w:val="both"/>
        <w:rPr>
          <w:szCs w:val="24"/>
        </w:rPr>
      </w:pPr>
      <w:r w:rsidRPr="00265AF9">
        <w:rPr>
          <w:szCs w:val="24"/>
        </w:rPr>
        <w:t>09/61 místní správa                     14,80 tis. Kč plechová garáž při obj. čp. 8 K Libuši</w:t>
      </w:r>
    </w:p>
    <w:p w:rsidR="00035C9F" w:rsidRPr="001542DD" w:rsidRDefault="00035C9F" w:rsidP="00D211D7">
      <w:pPr>
        <w:jc w:val="both"/>
      </w:pPr>
    </w:p>
    <w:p w:rsidR="00035C9F" w:rsidRPr="001542DD" w:rsidRDefault="00035C9F" w:rsidP="00D211D7">
      <w:pPr>
        <w:jc w:val="both"/>
      </w:pPr>
    </w:p>
    <w:p w:rsidR="001542DD" w:rsidRDefault="001542DD" w:rsidP="001542DD">
      <w:pPr>
        <w:rPr>
          <w:b/>
        </w:rPr>
      </w:pPr>
      <w:r w:rsidRPr="001542DD">
        <w:rPr>
          <w:b/>
        </w:rPr>
        <w:lastRenderedPageBreak/>
        <w:t>III. Financování</w:t>
      </w:r>
    </w:p>
    <w:p w:rsidR="00265AF9" w:rsidRPr="00265AF9" w:rsidRDefault="003E51DB" w:rsidP="00265AF9">
      <w:pPr>
        <w:jc w:val="both"/>
      </w:pPr>
      <w:bookmarkStart w:id="0" w:name="_GoBack"/>
      <w:bookmarkEnd w:id="0"/>
      <w:r>
        <w:t xml:space="preserve">   </w:t>
      </w:r>
      <w:r w:rsidRPr="00265AF9">
        <w:t xml:space="preserve">  </w:t>
      </w:r>
      <w:r w:rsidR="00265AF9" w:rsidRPr="00265AF9">
        <w:t xml:space="preserve">Pokud jde o rozbor třídy 8 financování, je její výše v upraveném rozpočtu, tj. 15 675,70 tis. Kč, dána zapojením úspor vlastních prostředků z minulých let ve výši 26 396,0 tis. Kč, ponechanou dotací HMP předešlých let, tj. 3 482,0 tis. Kč, odvodem finančního vypořádání roku 2018 ve výši 97,7 tis. Kč, snížením o převod 1 300,0 tis. Kč do fondu Domu s chráněnými byty a snížením o uvolněné zdroje 13 000,0 tis. Kč. </w:t>
      </w:r>
    </w:p>
    <w:p w:rsidR="00265AF9" w:rsidRDefault="00265AF9" w:rsidP="00265AF9">
      <w:pPr>
        <w:jc w:val="both"/>
      </w:pPr>
      <w:r w:rsidRPr="00265AF9">
        <w:t>Skutečnost salda příjmů a výdajů vykazuje přebytek, financování není čerpáno.</w:t>
      </w:r>
      <w:r w:rsidR="003E51DB">
        <w:t xml:space="preserve">  </w:t>
      </w:r>
    </w:p>
    <w:p w:rsidR="003E51DB" w:rsidRDefault="003E51DB" w:rsidP="00265AF9">
      <w:pPr>
        <w:jc w:val="both"/>
      </w:pPr>
      <w:r>
        <w:t xml:space="preserve">   Úvěrové smlouvy městská část Praha Kunratice žádné uzavřeny nemá a ani do budoucna o nich neuvažuje.</w:t>
      </w:r>
    </w:p>
    <w:p w:rsidR="00112B45" w:rsidRDefault="00112B45" w:rsidP="00BD1E5E">
      <w:pPr>
        <w:pStyle w:val="Zhlav"/>
        <w:tabs>
          <w:tab w:val="clear" w:pos="4536"/>
        </w:tabs>
        <w:jc w:val="both"/>
        <w:rPr>
          <w:b/>
        </w:rPr>
      </w:pPr>
    </w:p>
    <w:p w:rsidR="00AF2CF8" w:rsidRDefault="00AF2CF8" w:rsidP="00BD1E5E">
      <w:pPr>
        <w:pStyle w:val="Zhlav"/>
        <w:tabs>
          <w:tab w:val="clear" w:pos="4536"/>
        </w:tabs>
        <w:jc w:val="both"/>
        <w:rPr>
          <w:b/>
        </w:rPr>
      </w:pPr>
    </w:p>
    <w:p w:rsidR="005B0876" w:rsidRDefault="005B0876" w:rsidP="00BD1E5E">
      <w:pPr>
        <w:pStyle w:val="Zhlav"/>
        <w:tabs>
          <w:tab w:val="clear" w:pos="4536"/>
        </w:tabs>
        <w:jc w:val="both"/>
        <w:rPr>
          <w:b/>
        </w:rPr>
      </w:pPr>
      <w:r>
        <w:rPr>
          <w:b/>
        </w:rPr>
        <w:t>IV. Stavy a obraty na bankovních účtech:</w:t>
      </w:r>
    </w:p>
    <w:p w:rsidR="005B0876" w:rsidRDefault="005B0876" w:rsidP="00BD1E5E">
      <w:pPr>
        <w:pStyle w:val="Zhlav"/>
        <w:tabs>
          <w:tab w:val="clear" w:pos="4536"/>
        </w:tabs>
        <w:jc w:val="both"/>
      </w:pPr>
      <w:r>
        <w:t xml:space="preserve">     Počáteční a konečný stav prostředků na základní běžném účtu hlavní činnosti a účtech fondů je uveden v oddíle IV. Zobrazuje výsledek plynulého toku příjmů a realizace plateb k 31.12.201</w:t>
      </w:r>
      <w:r w:rsidR="00265AF9">
        <w:t>9</w:t>
      </w:r>
      <w:r>
        <w:t xml:space="preserve">. </w:t>
      </w:r>
    </w:p>
    <w:p w:rsidR="00981E05" w:rsidRDefault="00981E05" w:rsidP="00BD1E5E">
      <w:pPr>
        <w:pStyle w:val="Zhlav"/>
        <w:tabs>
          <w:tab w:val="clear" w:pos="4536"/>
        </w:tabs>
        <w:jc w:val="both"/>
      </w:pPr>
    </w:p>
    <w:p w:rsidR="00016F76" w:rsidRDefault="00016F76" w:rsidP="00BD1E5E">
      <w:pPr>
        <w:pStyle w:val="Zhlav"/>
        <w:tabs>
          <w:tab w:val="clear" w:pos="4536"/>
        </w:tabs>
        <w:jc w:val="both"/>
      </w:pPr>
    </w:p>
    <w:p w:rsidR="005B0876" w:rsidRDefault="005B0876" w:rsidP="00BD1E5E">
      <w:pPr>
        <w:pStyle w:val="Zhlav"/>
        <w:tabs>
          <w:tab w:val="clear" w:pos="4536"/>
        </w:tabs>
        <w:jc w:val="both"/>
      </w:pPr>
      <w:r>
        <w:rPr>
          <w:b/>
        </w:rPr>
        <w:t xml:space="preserve">V. Peněžní fondy: </w:t>
      </w:r>
      <w:r>
        <w:t xml:space="preserve"> </w:t>
      </w:r>
    </w:p>
    <w:p w:rsidR="005B0876" w:rsidRDefault="005B0876" w:rsidP="00BD1E5E">
      <w:pPr>
        <w:pStyle w:val="Zhlav"/>
        <w:tabs>
          <w:tab w:val="clear" w:pos="4536"/>
        </w:tabs>
        <w:jc w:val="both"/>
      </w:pPr>
      <w:r w:rsidRPr="00871B4E">
        <w:rPr>
          <w:b/>
        </w:rPr>
        <w:t>Sociální fond:</w:t>
      </w:r>
      <w:r>
        <w:t xml:space="preserve"> Počáteční stav </w:t>
      </w:r>
      <w:r w:rsidR="00974865">
        <w:t>147 343,96</w:t>
      </w:r>
      <w:r w:rsidR="00491692">
        <w:t xml:space="preserve"> Kč </w:t>
      </w:r>
      <w:r w:rsidR="00957E7E">
        <w:t>a</w:t>
      </w:r>
      <w:r>
        <w:t xml:space="preserve"> příděl z objemu hrubých mezd tvořily příjmovou stranu, použit byl na výdaje na stravování, penzijní připojištění, rekreaci zaměstnanců a dary k životním výročím</w:t>
      </w:r>
      <w:r w:rsidR="00491692">
        <w:t xml:space="preserve">. </w:t>
      </w:r>
      <w:r>
        <w:t>Zůstatek k 31.12.201</w:t>
      </w:r>
      <w:r w:rsidR="00974865">
        <w:t>9</w:t>
      </w:r>
      <w:r>
        <w:t xml:space="preserve"> činil</w:t>
      </w:r>
      <w:r w:rsidR="00491692">
        <w:t xml:space="preserve"> 1</w:t>
      </w:r>
      <w:r w:rsidR="00974865">
        <w:t>37 384,96</w:t>
      </w:r>
      <w:r w:rsidR="00491692">
        <w:t xml:space="preserve"> Kč</w:t>
      </w:r>
      <w:r>
        <w:t xml:space="preserve">. </w:t>
      </w:r>
    </w:p>
    <w:p w:rsidR="00016F76" w:rsidRDefault="00016F76" w:rsidP="00BD1E5E">
      <w:pPr>
        <w:pStyle w:val="Zhlav"/>
        <w:tabs>
          <w:tab w:val="clear" w:pos="4536"/>
        </w:tabs>
        <w:jc w:val="both"/>
        <w:rPr>
          <w:b/>
        </w:rPr>
      </w:pPr>
    </w:p>
    <w:p w:rsidR="005B0876" w:rsidRPr="00871B4E" w:rsidRDefault="005B0876" w:rsidP="00BD1E5E">
      <w:pPr>
        <w:pStyle w:val="Zhlav"/>
        <w:tabs>
          <w:tab w:val="clear" w:pos="4536"/>
        </w:tabs>
        <w:jc w:val="both"/>
        <w:rPr>
          <w:b/>
        </w:rPr>
      </w:pPr>
      <w:r w:rsidRPr="00871B4E">
        <w:rPr>
          <w:b/>
        </w:rPr>
        <w:t>Fond Domu s chráněnými byty:</w:t>
      </w:r>
    </w:p>
    <w:p w:rsidR="000242B9" w:rsidRDefault="000242B9" w:rsidP="000242B9">
      <w:pPr>
        <w:tabs>
          <w:tab w:val="decimal" w:pos="6521"/>
        </w:tabs>
        <w:jc w:val="both"/>
      </w:pPr>
      <w:r>
        <w:t xml:space="preserve">Čerpání prostředků fondu Domu s chráněnými byty probíhá prostřednictvím rozpočtu hlavní činnosti. Do schváleného rozpočtu 2019 bylo zapojeno 1 122,0 tis. Kč. Převod peněžních prostředků z účtu fondu se provádí podle skutečného čerpání výdajů, byl proveden za první a druhé pololetí.  </w:t>
      </w:r>
    </w:p>
    <w:p w:rsidR="000242B9" w:rsidRDefault="000242B9" w:rsidP="000242B9">
      <w:pPr>
        <w:tabs>
          <w:tab w:val="decimal" w:pos="6521"/>
        </w:tabs>
        <w:jc w:val="both"/>
      </w:pPr>
      <w:r>
        <w:t>Od 1.1. do 31.12.2019 bylo vynaloženo celkem 513 963,05</w:t>
      </w:r>
      <w:r w:rsidRPr="00E07A55">
        <w:t xml:space="preserve"> Kč </w:t>
      </w:r>
      <w:r>
        <w:t>(par. 4357 rozpočtu) takto:</w:t>
      </w:r>
    </w:p>
    <w:p w:rsidR="000242B9" w:rsidRDefault="000242B9" w:rsidP="000242B9">
      <w:pPr>
        <w:tabs>
          <w:tab w:val="decimal" w:pos="7371"/>
        </w:tabs>
        <w:jc w:val="both"/>
      </w:pPr>
    </w:p>
    <w:p w:rsidR="000242B9" w:rsidRDefault="000242B9" w:rsidP="000242B9">
      <w:pPr>
        <w:tabs>
          <w:tab w:val="decimal" w:pos="7371"/>
        </w:tabs>
        <w:jc w:val="both"/>
      </w:pPr>
      <w:r>
        <w:t>koncertní vystoupení Magdy Malé, duben</w:t>
      </w:r>
      <w:r>
        <w:tab/>
        <w:t>7 000,00</w:t>
      </w:r>
    </w:p>
    <w:p w:rsidR="000242B9" w:rsidRDefault="000242B9" w:rsidP="000242B9">
      <w:pPr>
        <w:tabs>
          <w:tab w:val="decimal" w:pos="7371"/>
        </w:tabs>
        <w:jc w:val="both"/>
      </w:pPr>
      <w:r>
        <w:t>hudební vystoupení studentů zpěvu, červen</w:t>
      </w:r>
      <w:r>
        <w:tab/>
        <w:t xml:space="preserve">  5 000,00</w:t>
      </w:r>
    </w:p>
    <w:p w:rsidR="000242B9" w:rsidRDefault="000242B9" w:rsidP="000242B9">
      <w:pPr>
        <w:tabs>
          <w:tab w:val="decimal" w:pos="7371"/>
        </w:tabs>
        <w:jc w:val="both"/>
      </w:pPr>
      <w:r>
        <w:t>hudebně zábavné vystoupení, září</w:t>
      </w:r>
      <w:r>
        <w:tab/>
        <w:t>5000,00</w:t>
      </w:r>
    </w:p>
    <w:p w:rsidR="000242B9" w:rsidRDefault="000242B9" w:rsidP="000242B9">
      <w:pPr>
        <w:tabs>
          <w:tab w:val="decimal" w:pos="7371"/>
        </w:tabs>
        <w:jc w:val="both"/>
      </w:pPr>
      <w:r>
        <w:t>vystoupení Milušky Voborníkové, prosinec</w:t>
      </w:r>
      <w:r>
        <w:tab/>
        <w:t>6 000,00</w:t>
      </w:r>
    </w:p>
    <w:p w:rsidR="000242B9" w:rsidRDefault="000242B9" w:rsidP="000242B9">
      <w:pPr>
        <w:tabs>
          <w:tab w:val="decimal" w:pos="7371"/>
        </w:tabs>
        <w:jc w:val="both"/>
      </w:pPr>
      <w:r>
        <w:t>kurs vánočního aranžování vč. materiálu, prosinec</w:t>
      </w:r>
      <w:r>
        <w:tab/>
        <w:t>18 300,00</w:t>
      </w:r>
    </w:p>
    <w:p w:rsidR="000242B9" w:rsidRDefault="000242B9" w:rsidP="000242B9">
      <w:pPr>
        <w:tabs>
          <w:tab w:val="decimal" w:pos="7371"/>
        </w:tabs>
        <w:jc w:val="both"/>
      </w:pPr>
      <w:r>
        <w:t>mytí oken a parapetů</w:t>
      </w:r>
      <w:r>
        <w:tab/>
        <w:t>7 865,00</w:t>
      </w:r>
    </w:p>
    <w:p w:rsidR="000242B9" w:rsidRDefault="000242B9" w:rsidP="000242B9">
      <w:pPr>
        <w:tabs>
          <w:tab w:val="decimal" w:pos="7371"/>
        </w:tabs>
        <w:jc w:val="both"/>
      </w:pPr>
      <w:r>
        <w:t>úprava živých plotů</w:t>
      </w:r>
      <w:r>
        <w:tab/>
        <w:t>15 052,40</w:t>
      </w:r>
    </w:p>
    <w:p w:rsidR="000242B9" w:rsidRDefault="000242B9" w:rsidP="000242B9">
      <w:pPr>
        <w:tabs>
          <w:tab w:val="decimal" w:pos="7371"/>
        </w:tabs>
        <w:jc w:val="both"/>
      </w:pPr>
      <w:r>
        <w:t>oprava výtahu</w:t>
      </w:r>
      <w:r>
        <w:tab/>
        <w:t>7 177,15</w:t>
      </w:r>
    </w:p>
    <w:p w:rsidR="000242B9" w:rsidRDefault="000242B9" w:rsidP="000242B9">
      <w:pPr>
        <w:tabs>
          <w:tab w:val="decimal" w:pos="7371"/>
        </w:tabs>
        <w:jc w:val="both"/>
      </w:pPr>
      <w:r>
        <w:t>oprava výtahu</w:t>
      </w:r>
      <w:r>
        <w:tab/>
        <w:t>7 125,40</w:t>
      </w:r>
    </w:p>
    <w:p w:rsidR="000242B9" w:rsidRDefault="000242B9" w:rsidP="000242B9">
      <w:pPr>
        <w:tabs>
          <w:tab w:val="decimal" w:pos="7371"/>
        </w:tabs>
        <w:jc w:val="both"/>
      </w:pPr>
      <w:r>
        <w:t>výměna modulu společné antény</w:t>
      </w:r>
      <w:r>
        <w:tab/>
        <w:t>8 499,00</w:t>
      </w:r>
    </w:p>
    <w:p w:rsidR="000242B9" w:rsidRDefault="000242B9" w:rsidP="000242B9">
      <w:pPr>
        <w:tabs>
          <w:tab w:val="decimal" w:pos="7371"/>
        </w:tabs>
        <w:jc w:val="both"/>
      </w:pPr>
      <w:r>
        <w:t>výměna kanálového zesilovače společné antény</w:t>
      </w:r>
      <w:r>
        <w:tab/>
        <w:t>12 110,00</w:t>
      </w:r>
    </w:p>
    <w:p w:rsidR="000242B9" w:rsidRDefault="000242B9" w:rsidP="000242B9">
      <w:pPr>
        <w:tabs>
          <w:tab w:val="decimal" w:pos="7371"/>
        </w:tabs>
        <w:jc w:val="both"/>
      </w:pPr>
      <w:r>
        <w:t>oprava, montáž klimatizační jednotky</w:t>
      </w:r>
      <w:r>
        <w:tab/>
        <w:t>10 730,00</w:t>
      </w:r>
    </w:p>
    <w:p w:rsidR="000242B9" w:rsidRDefault="000242B9" w:rsidP="000242B9">
      <w:pPr>
        <w:tabs>
          <w:tab w:val="decimal" w:pos="7371"/>
        </w:tabs>
        <w:jc w:val="both"/>
      </w:pPr>
      <w:r>
        <w:t xml:space="preserve">občerstvení pro občany při kulturních akcích </w:t>
      </w:r>
      <w:r>
        <w:tab/>
        <w:t>14 624,00</w:t>
      </w:r>
    </w:p>
    <w:p w:rsidR="000242B9" w:rsidRDefault="000242B9" w:rsidP="000242B9">
      <w:pPr>
        <w:tabs>
          <w:tab w:val="decimal" w:pos="7371"/>
        </w:tabs>
        <w:jc w:val="both"/>
      </w:pPr>
      <w:r>
        <w:t xml:space="preserve">květiny pro účinkující kulturních vystoupení </w:t>
      </w:r>
      <w:r>
        <w:tab/>
        <w:t>1 300,00</w:t>
      </w:r>
    </w:p>
    <w:p w:rsidR="000242B9" w:rsidRDefault="000242B9" w:rsidP="000242B9">
      <w:pPr>
        <w:tabs>
          <w:tab w:val="decimal" w:pos="7371"/>
        </w:tabs>
        <w:jc w:val="both"/>
      </w:pPr>
      <w:r>
        <w:t>projektová dokumentace-Jímání dešťových vod objektu</w:t>
      </w:r>
      <w:r>
        <w:tab/>
        <w:t>102 850,00</w:t>
      </w:r>
    </w:p>
    <w:p w:rsidR="000242B9" w:rsidRDefault="000242B9" w:rsidP="000242B9">
      <w:pPr>
        <w:tabs>
          <w:tab w:val="decimal" w:pos="7371"/>
        </w:tabs>
        <w:jc w:val="both"/>
      </w:pPr>
      <w:r>
        <w:t>dodávka a montáž horizontálních žaluzií do bytů a společ. místn.</w:t>
      </w:r>
      <w:r>
        <w:tab/>
        <w:t>285 330,10</w:t>
      </w:r>
    </w:p>
    <w:p w:rsidR="000242B9" w:rsidRPr="000242B9" w:rsidRDefault="000242B9" w:rsidP="000242B9">
      <w:pPr>
        <w:tabs>
          <w:tab w:val="decimal" w:pos="7371"/>
        </w:tabs>
        <w:jc w:val="both"/>
      </w:pPr>
      <w:r w:rsidRPr="000242B9">
        <w:t>Celkem</w:t>
      </w:r>
      <w:r w:rsidRPr="000242B9">
        <w:tab/>
        <w:t>513 963,05</w:t>
      </w:r>
    </w:p>
    <w:p w:rsidR="000242B9" w:rsidRDefault="000242B9" w:rsidP="000242B9">
      <w:pPr>
        <w:tabs>
          <w:tab w:val="decimal" w:pos="7371"/>
        </w:tabs>
        <w:jc w:val="both"/>
      </w:pPr>
    </w:p>
    <w:p w:rsidR="000242B9" w:rsidRPr="000242B9" w:rsidRDefault="000242B9" w:rsidP="000242B9">
      <w:pPr>
        <w:tabs>
          <w:tab w:val="decimal" w:pos="7371"/>
        </w:tabs>
        <w:jc w:val="both"/>
      </w:pPr>
      <w:r w:rsidRPr="000242B9">
        <w:lastRenderedPageBreak/>
        <w:t>Rekapitulace stavu účtu fondu (Kč)</w:t>
      </w:r>
    </w:p>
    <w:p w:rsidR="000242B9" w:rsidRDefault="000242B9" w:rsidP="000242B9">
      <w:pPr>
        <w:tabs>
          <w:tab w:val="decimal" w:pos="7371"/>
        </w:tabs>
        <w:jc w:val="both"/>
      </w:pPr>
      <w:r>
        <w:t>počáteční stav fondu k 1.1.2019</w:t>
      </w:r>
      <w:r>
        <w:tab/>
        <w:t>10 503 475,01</w:t>
      </w:r>
    </w:p>
    <w:p w:rsidR="000242B9" w:rsidRDefault="000242B9" w:rsidP="000242B9">
      <w:pPr>
        <w:tabs>
          <w:tab w:val="decimal" w:pos="7371"/>
        </w:tabs>
        <w:jc w:val="both"/>
      </w:pPr>
      <w:r>
        <w:t>příjem z hospodářského výsledku VHČ</w:t>
      </w:r>
      <w:r>
        <w:tab/>
        <w:t>1 300 000,00</w:t>
      </w:r>
    </w:p>
    <w:p w:rsidR="000242B9" w:rsidRDefault="000242B9" w:rsidP="000242B9">
      <w:pPr>
        <w:tabs>
          <w:tab w:val="decimal" w:pos="7371"/>
        </w:tabs>
        <w:jc w:val="both"/>
      </w:pPr>
      <w:r>
        <w:t xml:space="preserve">převod do rozpočtu </w:t>
      </w:r>
      <w:r>
        <w:tab/>
        <w:t>-513 963,05</w:t>
      </w:r>
    </w:p>
    <w:p w:rsidR="000242B9" w:rsidRPr="00C528E0" w:rsidRDefault="000242B9" w:rsidP="000242B9">
      <w:pPr>
        <w:tabs>
          <w:tab w:val="decimal" w:pos="7371"/>
        </w:tabs>
        <w:jc w:val="both"/>
      </w:pPr>
      <w:r>
        <w:t>bankovní poplatky</w:t>
      </w:r>
      <w:r>
        <w:tab/>
      </w:r>
      <w:r w:rsidRPr="00C528E0">
        <w:t>-</w:t>
      </w:r>
      <w:r>
        <w:t>249,67</w:t>
      </w:r>
    </w:p>
    <w:p w:rsidR="000242B9" w:rsidRPr="00C528E0" w:rsidRDefault="000242B9" w:rsidP="000242B9">
      <w:pPr>
        <w:tabs>
          <w:tab w:val="decimal" w:pos="7371"/>
        </w:tabs>
        <w:jc w:val="both"/>
        <w:rPr>
          <w:b/>
        </w:rPr>
      </w:pPr>
      <w:r>
        <w:rPr>
          <w:b/>
        </w:rPr>
        <w:t>počáteční stav k 1.1.2020</w:t>
      </w:r>
      <w:r w:rsidRPr="00C528E0">
        <w:rPr>
          <w:b/>
        </w:rPr>
        <w:tab/>
        <w:t>1</w:t>
      </w:r>
      <w:r>
        <w:rPr>
          <w:b/>
        </w:rPr>
        <w:t>1 289 262,29</w:t>
      </w:r>
    </w:p>
    <w:p w:rsidR="00957E7E" w:rsidRDefault="00957E7E" w:rsidP="003E1C47">
      <w:pPr>
        <w:pStyle w:val="Zhlav"/>
        <w:tabs>
          <w:tab w:val="clear" w:pos="4536"/>
        </w:tabs>
        <w:jc w:val="both"/>
        <w:rPr>
          <w:b/>
        </w:rPr>
      </w:pPr>
    </w:p>
    <w:p w:rsidR="005B0876" w:rsidRPr="00871B4E" w:rsidRDefault="005B0876" w:rsidP="003E1C47">
      <w:pPr>
        <w:pStyle w:val="Zhlav"/>
        <w:tabs>
          <w:tab w:val="clear" w:pos="4536"/>
        </w:tabs>
        <w:jc w:val="both"/>
        <w:rPr>
          <w:b/>
        </w:rPr>
      </w:pPr>
      <w:r w:rsidRPr="00871B4E">
        <w:rPr>
          <w:b/>
        </w:rPr>
        <w:t xml:space="preserve">Fond rezerv a rozvoje: </w:t>
      </w:r>
    </w:p>
    <w:p w:rsidR="005B0876" w:rsidRDefault="005B0876" w:rsidP="003E1C47">
      <w:pPr>
        <w:pStyle w:val="Zhlav"/>
        <w:tabs>
          <w:tab w:val="clear" w:pos="4536"/>
        </w:tabs>
        <w:jc w:val="both"/>
      </w:pPr>
      <w:r>
        <w:t>Zůstatek k 31.12.201</w:t>
      </w:r>
      <w:r w:rsidR="00D41F96">
        <w:t>9</w:t>
      </w:r>
      <w:r>
        <w:t xml:space="preserve"> byl vykázán ve výši </w:t>
      </w:r>
      <w:r w:rsidR="00957E7E">
        <w:t>37</w:t>
      </w:r>
      <w:r w:rsidR="00D41F96">
        <w:t>9 006,94</w:t>
      </w:r>
      <w:r>
        <w:t xml:space="preserve"> Kč, v průběhu roku nebyl fond zapojován a účtováno bylo pouze o úrocích a bankovních poplatcích.</w:t>
      </w:r>
    </w:p>
    <w:p w:rsidR="005B0876" w:rsidRDefault="005B0876" w:rsidP="00BD1E5E">
      <w:pPr>
        <w:pStyle w:val="Zhlav"/>
        <w:tabs>
          <w:tab w:val="clear" w:pos="4536"/>
        </w:tabs>
        <w:jc w:val="both"/>
      </w:pPr>
    </w:p>
    <w:p w:rsidR="005B0876" w:rsidRDefault="005B0876" w:rsidP="00BD1E5E">
      <w:pPr>
        <w:pStyle w:val="Zhlav"/>
        <w:tabs>
          <w:tab w:val="clear" w:pos="4536"/>
        </w:tabs>
        <w:jc w:val="both"/>
      </w:pPr>
    </w:p>
    <w:p w:rsidR="005B0876" w:rsidRDefault="005B0876" w:rsidP="00BD1E5E">
      <w:pPr>
        <w:pStyle w:val="Zhlav"/>
        <w:tabs>
          <w:tab w:val="clear" w:pos="4536"/>
        </w:tabs>
        <w:jc w:val="both"/>
        <w:rPr>
          <w:b/>
        </w:rPr>
      </w:pPr>
      <w:r>
        <w:rPr>
          <w:b/>
        </w:rPr>
        <w:t>VI. Majetek:</w:t>
      </w:r>
    </w:p>
    <w:p w:rsidR="005B0876" w:rsidRDefault="005B0876" w:rsidP="00C9611D">
      <w:pPr>
        <w:jc w:val="both"/>
      </w:pPr>
      <w:r>
        <w:t xml:space="preserve">     MČ sestavila účetní závěrku s hodnotami majetku za rok 201</w:t>
      </w:r>
      <w:r w:rsidR="000242B9">
        <w:t>9</w:t>
      </w:r>
      <w:r>
        <w:t xml:space="preserve"> podle zákona č. 563/1991 Sb. o účetnictví a prováděcí vyhlášky č. 410/2009 Sb. Roční účetní závěrka a doklady o inventarizaci majetku byly MHMP předány. Podle vyhlášky 220/2013 Sb. o schvalování účetních závěrek byly Zastupitelstvu MČ předloženy tyto doklady:</w:t>
      </w:r>
      <w:r w:rsidRPr="00C9611D">
        <w:t xml:space="preserve"> </w:t>
      </w:r>
    </w:p>
    <w:p w:rsidR="005B0876" w:rsidRDefault="005B0876" w:rsidP="00C9611D">
      <w:pPr>
        <w:jc w:val="both"/>
      </w:pPr>
      <w:r>
        <w:t xml:space="preserve">Rozvaha-Bilance </w:t>
      </w:r>
    </w:p>
    <w:p w:rsidR="005B0876" w:rsidRDefault="005B0876" w:rsidP="00C9611D">
      <w:pPr>
        <w:jc w:val="both"/>
      </w:pPr>
      <w:r>
        <w:t xml:space="preserve">Výkaz zisku a ztrát </w:t>
      </w:r>
    </w:p>
    <w:p w:rsidR="005B0876" w:rsidRDefault="005B0876" w:rsidP="00C9611D">
      <w:pPr>
        <w:jc w:val="both"/>
      </w:pPr>
      <w:r>
        <w:t xml:space="preserve">Příloha k účetní závěrce </w:t>
      </w:r>
    </w:p>
    <w:p w:rsidR="005B0876" w:rsidRDefault="005B0876" w:rsidP="00C9611D">
      <w:pPr>
        <w:jc w:val="both"/>
      </w:pPr>
      <w:r>
        <w:t xml:space="preserve">Přehled o peněžních tocích </w:t>
      </w:r>
    </w:p>
    <w:p w:rsidR="005B0876" w:rsidRDefault="005B0876" w:rsidP="00C9611D">
      <w:pPr>
        <w:jc w:val="both"/>
      </w:pPr>
      <w:r>
        <w:t>Přehled o změnách vlastního kapitálu</w:t>
      </w:r>
    </w:p>
    <w:p w:rsidR="005B0876" w:rsidRDefault="005B0876" w:rsidP="00C9611D">
      <w:pPr>
        <w:jc w:val="both"/>
      </w:pPr>
      <w:r>
        <w:t>Zpráva o výsledku přezkoumání hospodaření městské části Praha Kunratice za období l. ledna až 31. prosince 201</w:t>
      </w:r>
      <w:r w:rsidR="000242B9">
        <w:t>9</w:t>
      </w:r>
      <w:r>
        <w:t>, OKČ MHMP</w:t>
      </w:r>
    </w:p>
    <w:p w:rsidR="005B0876" w:rsidRDefault="005B0876" w:rsidP="00C9611D">
      <w:pPr>
        <w:jc w:val="both"/>
      </w:pPr>
      <w:r>
        <w:t xml:space="preserve">Inventarizační zpráva </w:t>
      </w:r>
      <w:r w:rsidR="00166B8E" w:rsidRPr="00166B8E">
        <w:t>s</w:t>
      </w:r>
      <w:r w:rsidRPr="00166B8E">
        <w:t xml:space="preserve">estavená </w:t>
      </w:r>
      <w:r>
        <w:t>městskou částí ke dni 31.12.201</w:t>
      </w:r>
      <w:r w:rsidR="000242B9">
        <w:t>9</w:t>
      </w:r>
      <w:r>
        <w:t>.</w:t>
      </w:r>
    </w:p>
    <w:p w:rsidR="005B0876" w:rsidRDefault="005B0876" w:rsidP="0073562C">
      <w:pPr>
        <w:jc w:val="both"/>
      </w:pPr>
      <w:r>
        <w:t xml:space="preserve">Odboru účetnictví MHMP jsou údaje celoročně předávány a probíhá kontrola účtování o majetku a finanční situaci účetní jednotky. </w:t>
      </w:r>
    </w:p>
    <w:p w:rsidR="005B0876" w:rsidRDefault="005B0876" w:rsidP="0073562C">
      <w:pPr>
        <w:jc w:val="both"/>
      </w:pPr>
      <w:r>
        <w:t>MČ má velký dlouhodobý majetek ve stavbách a pozemcích, majetek je zhodnocován</w:t>
      </w:r>
      <w:r w:rsidR="000F3F90">
        <w:t>, nebyly zjištěny inventarizační rozdíly.</w:t>
      </w:r>
    </w:p>
    <w:p w:rsidR="005B0876" w:rsidRDefault="005B0876" w:rsidP="00C9611D">
      <w:pPr>
        <w:pStyle w:val="Zhlav"/>
        <w:tabs>
          <w:tab w:val="clear" w:pos="4536"/>
        </w:tabs>
        <w:jc w:val="both"/>
      </w:pPr>
      <w:r>
        <w:t>Účetní závěrka MČ Praha Kunratice za rok 201</w:t>
      </w:r>
      <w:r w:rsidR="000242B9">
        <w:t>9</w:t>
      </w:r>
      <w:r w:rsidR="00FF5BB3">
        <w:t xml:space="preserve"> </w:t>
      </w:r>
      <w:r>
        <w:t xml:space="preserve">byla Zastupitelstvem MČ schválena usnesením č. </w:t>
      </w:r>
      <w:r w:rsidR="000242B9">
        <w:t xml:space="preserve">12.1a ze </w:t>
      </w:r>
      <w:r w:rsidR="00FF5BB3">
        <w:t xml:space="preserve">dne </w:t>
      </w:r>
      <w:r w:rsidR="000242B9">
        <w:t>25.5.2020.</w:t>
      </w:r>
    </w:p>
    <w:p w:rsidR="005B0876" w:rsidRDefault="005B0876" w:rsidP="00630830">
      <w:pPr>
        <w:jc w:val="both"/>
      </w:pPr>
    </w:p>
    <w:p w:rsidR="00467D5B" w:rsidRDefault="00467D5B" w:rsidP="00BD1E5E">
      <w:pPr>
        <w:pStyle w:val="Zhlav"/>
        <w:tabs>
          <w:tab w:val="clear" w:pos="4536"/>
        </w:tabs>
        <w:jc w:val="both"/>
        <w:rPr>
          <w:b/>
        </w:rPr>
      </w:pPr>
    </w:p>
    <w:p w:rsidR="005B0876" w:rsidRDefault="005B0876" w:rsidP="00BD1E5E">
      <w:pPr>
        <w:pStyle w:val="Zhlav"/>
        <w:tabs>
          <w:tab w:val="clear" w:pos="4536"/>
        </w:tabs>
        <w:jc w:val="both"/>
        <w:rPr>
          <w:b/>
        </w:rPr>
      </w:pPr>
      <w:r>
        <w:rPr>
          <w:b/>
        </w:rPr>
        <w:t xml:space="preserve"> VII., VIII. Finanční vypořádání:</w:t>
      </w:r>
    </w:p>
    <w:p w:rsidR="0001122E" w:rsidRDefault="005B0876" w:rsidP="00DF323F">
      <w:pPr>
        <w:pStyle w:val="Zhlav"/>
        <w:tabs>
          <w:tab w:val="clear" w:pos="4536"/>
        </w:tabs>
        <w:jc w:val="both"/>
      </w:pPr>
      <w:r>
        <w:t xml:space="preserve">    Zástupci odboru rozpočtu MHMP projednali se zástupci MČ finanční vypořádání účelových dotací dne </w:t>
      </w:r>
      <w:r w:rsidR="000242B9">
        <w:t>27.2.2020</w:t>
      </w:r>
      <w:r>
        <w:t>, z jednání vyplynul výsledný vztah MČ ke státnímu rozpočtu a rozpočtu HMP za rok 201</w:t>
      </w:r>
      <w:r w:rsidR="000242B9">
        <w:t>9</w:t>
      </w:r>
      <w:r>
        <w:t xml:space="preserve">. Všechny poskytnuté dotace byly doloženy vyúčtováním.  </w:t>
      </w:r>
      <w:r w:rsidR="0001122E">
        <w:t>N</w:t>
      </w:r>
      <w:r>
        <w:t>edočerpan</w:t>
      </w:r>
      <w:r w:rsidR="00957E7E">
        <w:t>é</w:t>
      </w:r>
      <w:r>
        <w:t xml:space="preserve"> dotace HMP na </w:t>
      </w:r>
      <w:r w:rsidR="0001122E">
        <w:t xml:space="preserve">investiční akce </w:t>
      </w:r>
      <w:r>
        <w:t>nám byl</w:t>
      </w:r>
      <w:r w:rsidR="00957E7E">
        <w:t>y</w:t>
      </w:r>
      <w:r>
        <w:t xml:space="preserve"> ponechán</w:t>
      </w:r>
      <w:r w:rsidR="00957E7E">
        <w:t>y</w:t>
      </w:r>
      <w:r>
        <w:t xml:space="preserve"> k využití v roce 20</w:t>
      </w:r>
      <w:r w:rsidR="000242B9">
        <w:t>20</w:t>
      </w:r>
      <w:r>
        <w:t xml:space="preserve">. </w:t>
      </w:r>
    </w:p>
    <w:p w:rsidR="005B0876" w:rsidRDefault="005B0876" w:rsidP="00DF323F">
      <w:pPr>
        <w:pStyle w:val="Zhlav"/>
        <w:tabs>
          <w:tab w:val="clear" w:pos="4536"/>
        </w:tabs>
        <w:jc w:val="both"/>
      </w:pPr>
      <w:r>
        <w:t xml:space="preserve">MČ odvede do rozpočtu HMP </w:t>
      </w:r>
      <w:r w:rsidR="000242B9">
        <w:t xml:space="preserve">část </w:t>
      </w:r>
      <w:r w:rsidR="003270C7">
        <w:t>nedočerpané dotace na volby a zkoušky odborné způsobilosti.</w:t>
      </w:r>
    </w:p>
    <w:p w:rsidR="00AF2CF8" w:rsidRDefault="00AF2CF8" w:rsidP="00DF323F">
      <w:pPr>
        <w:pStyle w:val="Zhlav"/>
        <w:tabs>
          <w:tab w:val="clear" w:pos="4536"/>
        </w:tabs>
        <w:jc w:val="both"/>
      </w:pPr>
    </w:p>
    <w:p w:rsidR="00016F76" w:rsidRDefault="00016F76" w:rsidP="00893214">
      <w:pPr>
        <w:jc w:val="both"/>
        <w:rPr>
          <w:b/>
        </w:rPr>
      </w:pPr>
    </w:p>
    <w:p w:rsidR="005B0876" w:rsidRDefault="005B0876" w:rsidP="00893214">
      <w:pPr>
        <w:jc w:val="both"/>
        <w:rPr>
          <w:b/>
        </w:rPr>
      </w:pPr>
      <w:r>
        <w:rPr>
          <w:b/>
        </w:rPr>
        <w:t xml:space="preserve">IX. Přezkoumání hospodaření: </w:t>
      </w:r>
    </w:p>
    <w:p w:rsidR="005B0876" w:rsidRDefault="005B0876" w:rsidP="00A778D4">
      <w:pPr>
        <w:jc w:val="both"/>
      </w:pPr>
      <w:r>
        <w:t xml:space="preserve">     Žádost o přezkoumání hospodaření Městské části Praha Kunratice pro rok 201</w:t>
      </w:r>
      <w:r w:rsidR="000242B9">
        <w:t>9</w:t>
      </w:r>
      <w:r>
        <w:t xml:space="preserve"> jsme v řádném termínu uplatnili u MHMP. </w:t>
      </w:r>
    </w:p>
    <w:p w:rsidR="006D2BCE" w:rsidRDefault="006D2BCE" w:rsidP="006D2BCE">
      <w:pPr>
        <w:jc w:val="both"/>
      </w:pPr>
      <w:r>
        <w:t>Přezkoumání hospodaření odborem kontrolních činností magistrátu HMP bylo provedeno formou dvou dílčích a konečného přezkoumání podle zákona č. 420/2004 Sb. o přezkoumávání hospodaření územních sam</w:t>
      </w:r>
      <w:r w:rsidR="003270C7">
        <w:t xml:space="preserve">osprávných celků.  Zpráva byla </w:t>
      </w:r>
      <w:r>
        <w:t>zástupcům</w:t>
      </w:r>
      <w:r w:rsidR="003270C7">
        <w:t xml:space="preserve"> MČ předána a s nimi projednána, viz Příloha č. 4.</w:t>
      </w:r>
      <w:r>
        <w:t xml:space="preserve"> </w:t>
      </w:r>
    </w:p>
    <w:p w:rsidR="0056239C" w:rsidRDefault="000242B9" w:rsidP="006D2BCE">
      <w:pPr>
        <w:jc w:val="both"/>
        <w:rPr>
          <w:color w:val="FF0000"/>
        </w:rPr>
      </w:pPr>
      <w:r>
        <w:lastRenderedPageBreak/>
        <w:t>Závěr – Zjištění z konečného přezkoumání hospodaření uvádí: nebyly zjištěny chyby a nedostatky</w:t>
      </w:r>
      <w:r w:rsidR="00B80F41">
        <w:t>. Chyby a nedostatky zjištěné v před</w:t>
      </w:r>
      <w:r w:rsidR="006D2BCE">
        <w:t>ozích  přezkoumáních byly napraveny</w:t>
      </w:r>
      <w:r w:rsidR="00B80F41">
        <w:t xml:space="preserve">.   </w:t>
      </w:r>
    </w:p>
    <w:p w:rsidR="005B0876" w:rsidRPr="0056239C" w:rsidRDefault="005B0876" w:rsidP="00A778D4">
      <w:pPr>
        <w:jc w:val="both"/>
      </w:pPr>
      <w:r w:rsidRPr="0056239C">
        <w:t xml:space="preserve">    Po projednání závěrečného účtu Zastupitelstvem MČ podá starostka písemnou informaci v souladu s ustanovením § 13, odst. 2 zák. č. 420/2004 Sb. Magistrátu hlavního města Prahy.</w:t>
      </w:r>
    </w:p>
    <w:p w:rsidR="005B0876" w:rsidRPr="0056239C" w:rsidRDefault="005B0876" w:rsidP="00BD1E5E">
      <w:pPr>
        <w:pStyle w:val="Zhlav"/>
        <w:tabs>
          <w:tab w:val="clear" w:pos="4536"/>
        </w:tabs>
        <w:jc w:val="both"/>
      </w:pPr>
      <w:r w:rsidRPr="0056239C">
        <w:t xml:space="preserve">     Z hlediska zřizovatele příspěvkových organizací zadala MČ statutárnímu auditoru Ing. Jaroslavu Brtáňovi provést </w:t>
      </w:r>
      <w:r w:rsidR="00B80F41">
        <w:t>veřejnosprávní kontrolu hospodaření</w:t>
      </w:r>
      <w:r w:rsidRPr="0056239C">
        <w:t xml:space="preserve"> Základní školy Kunratice a Mateřské školy Kunratice za období 1.1.201</w:t>
      </w:r>
      <w:r w:rsidR="00B80F41">
        <w:t>9</w:t>
      </w:r>
      <w:r w:rsidRPr="0056239C">
        <w:t>-31.12.201</w:t>
      </w:r>
      <w:r w:rsidR="00B80F41">
        <w:t>9</w:t>
      </w:r>
      <w:r w:rsidRPr="0056239C">
        <w:t>. Zprávy o výsledku kontroly hospodaření s veřejnými prostředky byly Městské části Kunratice a oběma statutárním zástupcům organizací předány a s nimi projednány</w:t>
      </w:r>
      <w:r w:rsidR="003C45AB">
        <w:t>.</w:t>
      </w:r>
      <w:r w:rsidRPr="0056239C">
        <w:t xml:space="preserve"> Jsou uloženy na Úřadě MČ. Nebylo zjištěno porušení rozpočtové kázně, žádný nedostatek ani riziko, auditor uvádí některá metodická doporučení. </w:t>
      </w:r>
    </w:p>
    <w:p w:rsidR="005B0876" w:rsidRDefault="005B0876" w:rsidP="00BD1E5E">
      <w:pPr>
        <w:pStyle w:val="Zhlav"/>
        <w:tabs>
          <w:tab w:val="clear" w:pos="4536"/>
        </w:tabs>
        <w:jc w:val="both"/>
      </w:pPr>
    </w:p>
    <w:p w:rsidR="00E15D1F" w:rsidRDefault="00E15D1F" w:rsidP="00BD1E5E">
      <w:pPr>
        <w:pStyle w:val="Zhlav"/>
        <w:tabs>
          <w:tab w:val="clear" w:pos="4536"/>
        </w:tabs>
        <w:jc w:val="both"/>
      </w:pPr>
    </w:p>
    <w:p w:rsidR="005B0876" w:rsidRDefault="005B0876">
      <w:pPr>
        <w:rPr>
          <w:b/>
        </w:rPr>
      </w:pPr>
      <w:r w:rsidRPr="00203040">
        <w:rPr>
          <w:b/>
        </w:rPr>
        <w:t>X.</w:t>
      </w:r>
      <w:r>
        <w:rPr>
          <w:b/>
        </w:rPr>
        <w:t xml:space="preserve"> Příspěvkové organizace:</w:t>
      </w:r>
    </w:p>
    <w:p w:rsidR="00A75F95" w:rsidRDefault="005B0876" w:rsidP="007702B1">
      <w:pPr>
        <w:pStyle w:val="Zhlav"/>
        <w:tabs>
          <w:tab w:val="clear" w:pos="4536"/>
        </w:tabs>
        <w:jc w:val="both"/>
      </w:pPr>
      <w:r>
        <w:t xml:space="preserve">     Základní škola Kunratice i Mateřská škola Kunratice sestavily účetní závěrku za rok 201</w:t>
      </w:r>
      <w:r w:rsidR="00B80F41">
        <w:t>9</w:t>
      </w:r>
      <w:r w:rsidR="00FE2C1E">
        <w:t xml:space="preserve"> </w:t>
      </w:r>
      <w:r>
        <w:t xml:space="preserve">podle zákona č. 563/1991 Sb. o účetnictví a prováděcí vyhlášky č. 410/2009 Sb. Roční účetní závěrka a doklady o inventarizaci majetku byly Městské části i MHMP předány. Podle vyhlášky 220/2013 Sb. o schvalování účetních závěrek byla Zastupitelstvem MČ účetní závěrka obou PO projednána a usneseními </w:t>
      </w:r>
      <w:r w:rsidR="00166B8E">
        <w:t xml:space="preserve">č. </w:t>
      </w:r>
      <w:r w:rsidR="00B80F41">
        <w:t>12.1</w:t>
      </w:r>
      <w:r w:rsidR="00166B8E">
        <w:t xml:space="preserve">b a </w:t>
      </w:r>
      <w:r w:rsidR="00B80F41">
        <w:t>12</w:t>
      </w:r>
      <w:r w:rsidR="00166B8E">
        <w:t>.1c ze dne</w:t>
      </w:r>
      <w:r w:rsidRPr="00F9013F">
        <w:rPr>
          <w:color w:val="FF0000"/>
        </w:rPr>
        <w:t xml:space="preserve"> </w:t>
      </w:r>
      <w:r w:rsidR="003C45AB" w:rsidRPr="003C45AB">
        <w:t>2</w:t>
      </w:r>
      <w:r w:rsidR="00B80F41">
        <w:t xml:space="preserve">5.5.2020 </w:t>
      </w:r>
      <w:r>
        <w:t>schválena.</w:t>
      </w:r>
      <w:r w:rsidR="004E228D">
        <w:t xml:space="preserve"> </w:t>
      </w:r>
    </w:p>
    <w:p w:rsidR="00A75F95" w:rsidRDefault="00A75F95" w:rsidP="00A75F95">
      <w:pPr>
        <w:pStyle w:val="Zhlav"/>
        <w:tabs>
          <w:tab w:val="clear" w:pos="4536"/>
        </w:tabs>
        <w:jc w:val="both"/>
        <w:rPr>
          <w:bCs/>
        </w:rPr>
      </w:pPr>
      <w:r>
        <w:rPr>
          <w:bCs/>
        </w:rPr>
        <w:t xml:space="preserve">     Obě organizace dosáhly zlepšeného hospodářského výsledku, návrh na rozdělení hospodářského výsledku byl ZMČ dne 2</w:t>
      </w:r>
      <w:r w:rsidR="00B80F41">
        <w:rPr>
          <w:bCs/>
        </w:rPr>
        <w:t>5.5.2020</w:t>
      </w:r>
      <w:r>
        <w:rPr>
          <w:bCs/>
        </w:rPr>
        <w:t xml:space="preserve"> schválen. Hospodářský výsledek je rozdělen v souladu se zákonem 250/2000 Sb. mezi fond rezervní a fond odměn příspěvkových organizací. </w:t>
      </w:r>
    </w:p>
    <w:p w:rsidR="00A75F95" w:rsidRDefault="00A75F95" w:rsidP="00A75F95">
      <w:pPr>
        <w:pStyle w:val="Zhlav"/>
        <w:tabs>
          <w:tab w:val="clear" w:pos="4536"/>
          <w:tab w:val="left" w:pos="2520"/>
          <w:tab w:val="left" w:pos="4320"/>
          <w:tab w:val="left" w:pos="5940"/>
          <w:tab w:val="left" w:pos="7380"/>
        </w:tabs>
        <w:jc w:val="both"/>
        <w:rPr>
          <w:b/>
          <w:bCs/>
        </w:rPr>
      </w:pPr>
    </w:p>
    <w:p w:rsidR="00A75F95" w:rsidRDefault="00A75F95" w:rsidP="00A75F95">
      <w:pPr>
        <w:pStyle w:val="Zhlav"/>
        <w:tabs>
          <w:tab w:val="clear" w:pos="4536"/>
          <w:tab w:val="left" w:pos="3060"/>
          <w:tab w:val="left" w:pos="4320"/>
          <w:tab w:val="left" w:pos="6120"/>
          <w:tab w:val="left" w:pos="7560"/>
        </w:tabs>
        <w:jc w:val="both"/>
        <w:rPr>
          <w:bCs/>
        </w:rPr>
      </w:pPr>
      <w:r>
        <w:rPr>
          <w:bCs/>
        </w:rPr>
        <w:t xml:space="preserve">Hospodářský výsledek Kč: </w:t>
      </w:r>
      <w:r>
        <w:rPr>
          <w:bCs/>
        </w:rPr>
        <w:tab/>
        <w:t xml:space="preserve">Hl. činnost </w:t>
      </w:r>
      <w:r>
        <w:rPr>
          <w:bCs/>
        </w:rPr>
        <w:tab/>
        <w:t>Hosp. činnost   Fond odměn</w:t>
      </w:r>
      <w:r>
        <w:rPr>
          <w:bCs/>
        </w:rPr>
        <w:tab/>
        <w:t>Fond rezervní</w:t>
      </w:r>
    </w:p>
    <w:p w:rsidR="00A75F95" w:rsidRDefault="00A75F95" w:rsidP="00A75F95">
      <w:pPr>
        <w:pStyle w:val="Zhlav"/>
        <w:tabs>
          <w:tab w:val="clear" w:pos="4536"/>
          <w:tab w:val="decimal" w:pos="3420"/>
          <w:tab w:val="decimal" w:pos="5220"/>
          <w:tab w:val="decimal" w:pos="6660"/>
          <w:tab w:val="decimal" w:pos="8460"/>
        </w:tabs>
        <w:jc w:val="both"/>
        <w:rPr>
          <w:bCs/>
        </w:rPr>
      </w:pPr>
      <w:r>
        <w:rPr>
          <w:bCs/>
        </w:rPr>
        <w:t>Základní škola</w:t>
      </w:r>
      <w:r>
        <w:rPr>
          <w:bCs/>
        </w:rPr>
        <w:tab/>
        <w:t>0,00</w:t>
      </w:r>
      <w:r>
        <w:rPr>
          <w:bCs/>
        </w:rPr>
        <w:tab/>
      </w:r>
      <w:r w:rsidR="00B80F41">
        <w:rPr>
          <w:bCs/>
        </w:rPr>
        <w:t>824 900,47</w:t>
      </w:r>
      <w:r>
        <w:rPr>
          <w:bCs/>
        </w:rPr>
        <w:tab/>
      </w:r>
      <w:r w:rsidR="00B80F41">
        <w:rPr>
          <w:bCs/>
        </w:rPr>
        <w:t>182 896</w:t>
      </w:r>
      <w:r>
        <w:rPr>
          <w:bCs/>
        </w:rPr>
        <w:t>,00</w:t>
      </w:r>
      <w:r>
        <w:rPr>
          <w:bCs/>
        </w:rPr>
        <w:tab/>
      </w:r>
      <w:r w:rsidR="00FD321C">
        <w:rPr>
          <w:bCs/>
        </w:rPr>
        <w:t>642 004,47</w:t>
      </w:r>
    </w:p>
    <w:p w:rsidR="00A75F95" w:rsidRDefault="00A75F95" w:rsidP="00A75F95">
      <w:pPr>
        <w:tabs>
          <w:tab w:val="decimal" w:pos="3420"/>
          <w:tab w:val="decimal" w:pos="5220"/>
          <w:tab w:val="decimal" w:pos="6660"/>
          <w:tab w:val="decimal" w:pos="8460"/>
        </w:tabs>
        <w:rPr>
          <w:bCs/>
          <w:szCs w:val="20"/>
        </w:rPr>
      </w:pPr>
      <w:r>
        <w:rPr>
          <w:bCs/>
        </w:rPr>
        <w:t xml:space="preserve">Mateřská </w:t>
      </w:r>
      <w:r>
        <w:rPr>
          <w:bCs/>
          <w:szCs w:val="20"/>
        </w:rPr>
        <w:t>škola</w:t>
      </w:r>
      <w:r>
        <w:rPr>
          <w:bCs/>
          <w:szCs w:val="20"/>
        </w:rPr>
        <w:tab/>
      </w:r>
      <w:r w:rsidR="00B80F41">
        <w:rPr>
          <w:bCs/>
          <w:szCs w:val="20"/>
        </w:rPr>
        <w:t>0,00</w:t>
      </w:r>
      <w:r w:rsidR="00D25759">
        <w:rPr>
          <w:bCs/>
          <w:szCs w:val="20"/>
        </w:rPr>
        <w:tab/>
      </w:r>
      <w:r w:rsidR="00FD321C">
        <w:rPr>
          <w:bCs/>
          <w:szCs w:val="20"/>
        </w:rPr>
        <w:t>5</w:t>
      </w:r>
      <w:r w:rsidR="00D25759">
        <w:rPr>
          <w:bCs/>
          <w:szCs w:val="20"/>
        </w:rPr>
        <w:t> </w:t>
      </w:r>
      <w:r w:rsidR="00FD321C">
        <w:rPr>
          <w:bCs/>
          <w:szCs w:val="20"/>
        </w:rPr>
        <w:t>100</w:t>
      </w:r>
      <w:r w:rsidR="00D25759">
        <w:rPr>
          <w:bCs/>
          <w:szCs w:val="20"/>
        </w:rPr>
        <w:t>,00</w:t>
      </w:r>
      <w:r w:rsidR="00D25759">
        <w:rPr>
          <w:bCs/>
          <w:szCs w:val="20"/>
        </w:rPr>
        <w:tab/>
      </w:r>
      <w:r w:rsidR="00FD321C">
        <w:rPr>
          <w:bCs/>
          <w:szCs w:val="20"/>
        </w:rPr>
        <w:t>4</w:t>
      </w:r>
      <w:r w:rsidR="00D25759">
        <w:rPr>
          <w:bCs/>
          <w:szCs w:val="20"/>
        </w:rPr>
        <w:t> </w:t>
      </w:r>
      <w:r w:rsidR="00FD321C">
        <w:rPr>
          <w:bCs/>
          <w:szCs w:val="20"/>
        </w:rPr>
        <w:t>080</w:t>
      </w:r>
      <w:r w:rsidR="00D25759">
        <w:rPr>
          <w:bCs/>
          <w:szCs w:val="20"/>
        </w:rPr>
        <w:t>,00</w:t>
      </w:r>
      <w:r w:rsidR="00D25759">
        <w:rPr>
          <w:bCs/>
          <w:szCs w:val="20"/>
        </w:rPr>
        <w:tab/>
        <w:t>1</w:t>
      </w:r>
      <w:r w:rsidR="00FD321C">
        <w:rPr>
          <w:bCs/>
          <w:szCs w:val="20"/>
        </w:rPr>
        <w:t> 020,00</w:t>
      </w:r>
    </w:p>
    <w:p w:rsidR="00D20AF5" w:rsidRDefault="00D20AF5" w:rsidP="00A75F95">
      <w:pPr>
        <w:tabs>
          <w:tab w:val="decimal" w:pos="3420"/>
          <w:tab w:val="decimal" w:pos="5220"/>
          <w:tab w:val="decimal" w:pos="6660"/>
          <w:tab w:val="decimal" w:pos="8460"/>
        </w:tabs>
        <w:rPr>
          <w:bCs/>
          <w:szCs w:val="20"/>
        </w:rPr>
      </w:pPr>
    </w:p>
    <w:p w:rsidR="00D20AF5" w:rsidRDefault="00D20AF5" w:rsidP="00A75F95">
      <w:pPr>
        <w:tabs>
          <w:tab w:val="decimal" w:pos="3420"/>
          <w:tab w:val="decimal" w:pos="5220"/>
          <w:tab w:val="decimal" w:pos="6660"/>
          <w:tab w:val="decimal" w:pos="8460"/>
        </w:tabs>
        <w:rPr>
          <w:bCs/>
          <w:szCs w:val="20"/>
        </w:rPr>
      </w:pPr>
    </w:p>
    <w:p w:rsidR="00D20AF5" w:rsidRDefault="00D20AF5" w:rsidP="00D20AF5">
      <w:pPr>
        <w:rPr>
          <w:b/>
        </w:rPr>
      </w:pPr>
      <w:r>
        <w:rPr>
          <w:b/>
        </w:rPr>
        <w:t xml:space="preserve">XI. Hospodářská činnost MČ: </w:t>
      </w:r>
    </w:p>
    <w:p w:rsidR="00D20AF5" w:rsidRDefault="00D20AF5" w:rsidP="00D20AF5">
      <w:pPr>
        <w:jc w:val="both"/>
      </w:pPr>
      <w:r>
        <w:t>Za rok 201</w:t>
      </w:r>
      <w:r w:rsidR="002917FC">
        <w:t>9</w:t>
      </w:r>
      <w:r>
        <w:t xml:space="preserve"> bylo v hospodářské činnosti dosaženo těchto hodnot:</w:t>
      </w:r>
    </w:p>
    <w:p w:rsidR="00D20AF5" w:rsidRDefault="00D20AF5" w:rsidP="00D20AF5">
      <w:pPr>
        <w:tabs>
          <w:tab w:val="decimal" w:pos="5103"/>
        </w:tabs>
        <w:jc w:val="both"/>
      </w:pPr>
      <w:r>
        <w:t>výnosy</w:t>
      </w:r>
      <w:r>
        <w:tab/>
        <w:t>1</w:t>
      </w:r>
      <w:r w:rsidR="002917FC">
        <w:t>6</w:t>
      </w:r>
      <w:r>
        <w:t> </w:t>
      </w:r>
      <w:r w:rsidR="002917FC">
        <w:t>391</w:t>
      </w:r>
      <w:r w:rsidR="00085DA3">
        <w:t> </w:t>
      </w:r>
      <w:r w:rsidR="002917FC">
        <w:t>474</w:t>
      </w:r>
      <w:r>
        <w:t xml:space="preserve"> Kč</w:t>
      </w:r>
    </w:p>
    <w:p w:rsidR="00D20AF5" w:rsidRDefault="00D20AF5" w:rsidP="00D20AF5">
      <w:pPr>
        <w:tabs>
          <w:tab w:val="decimal" w:pos="5103"/>
        </w:tabs>
        <w:jc w:val="both"/>
      </w:pPr>
      <w:r>
        <w:t>náklady</w:t>
      </w:r>
      <w:r>
        <w:tab/>
      </w:r>
      <w:r w:rsidR="002917FC">
        <w:t>5</w:t>
      </w:r>
      <w:r>
        <w:t> </w:t>
      </w:r>
      <w:r w:rsidR="002917FC">
        <w:t>190</w:t>
      </w:r>
      <w:r w:rsidR="00085DA3">
        <w:t> </w:t>
      </w:r>
      <w:r w:rsidR="002917FC">
        <w:t>540</w:t>
      </w:r>
      <w:r>
        <w:t xml:space="preserve"> Kč</w:t>
      </w:r>
    </w:p>
    <w:p w:rsidR="00D20AF5" w:rsidRDefault="00D20AF5" w:rsidP="00D20AF5">
      <w:pPr>
        <w:tabs>
          <w:tab w:val="decimal" w:pos="3119"/>
          <w:tab w:val="decimal" w:pos="5103"/>
        </w:tabs>
        <w:jc w:val="both"/>
      </w:pPr>
      <w:r>
        <w:t xml:space="preserve">hospodářský výsledek před zdaněním </w:t>
      </w:r>
      <w:r>
        <w:tab/>
      </w:r>
      <w:r w:rsidR="002917FC">
        <w:t xml:space="preserve">    11 200 934</w:t>
      </w:r>
      <w:r>
        <w:t xml:space="preserve"> Kč</w:t>
      </w:r>
    </w:p>
    <w:p w:rsidR="00D20AF5" w:rsidRDefault="00D20AF5" w:rsidP="00D20AF5">
      <w:pPr>
        <w:tabs>
          <w:tab w:val="decimal" w:pos="5103"/>
        </w:tabs>
        <w:jc w:val="both"/>
      </w:pPr>
      <w:r>
        <w:t xml:space="preserve">daň </w:t>
      </w:r>
      <w:r w:rsidR="002917FC">
        <w:t xml:space="preserve">19% </w:t>
      </w:r>
      <w:r>
        <w:t xml:space="preserve">ze základu daně </w:t>
      </w:r>
      <w:r>
        <w:tab/>
      </w:r>
      <w:r w:rsidR="002917FC">
        <w:t>2</w:t>
      </w:r>
      <w:r>
        <w:t> </w:t>
      </w:r>
      <w:r w:rsidR="002917FC">
        <w:t>243</w:t>
      </w:r>
      <w:r w:rsidR="00085DA3">
        <w:t> </w:t>
      </w:r>
      <w:r w:rsidR="002917FC">
        <w:t>292</w:t>
      </w:r>
      <w:r>
        <w:t xml:space="preserve"> Kč</w:t>
      </w:r>
    </w:p>
    <w:p w:rsidR="00D20AF5" w:rsidRDefault="00D20AF5" w:rsidP="00D20AF5">
      <w:pPr>
        <w:tabs>
          <w:tab w:val="decimal" w:pos="5103"/>
        </w:tabs>
        <w:jc w:val="both"/>
      </w:pPr>
      <w:r>
        <w:t xml:space="preserve">hospodářský výsledek VHČ </w:t>
      </w:r>
      <w:r>
        <w:tab/>
      </w:r>
      <w:r w:rsidR="002917FC">
        <w:t>8 957 642</w:t>
      </w:r>
      <w:r>
        <w:t xml:space="preserve"> Kč</w:t>
      </w:r>
    </w:p>
    <w:p w:rsidR="00D20AF5" w:rsidRDefault="00D20AF5" w:rsidP="00D20AF5">
      <w:pPr>
        <w:tabs>
          <w:tab w:val="decimal" w:pos="3119"/>
        </w:tabs>
        <w:jc w:val="both"/>
      </w:pPr>
    </w:p>
    <w:p w:rsidR="00D20AF5" w:rsidRDefault="00D20AF5" w:rsidP="00D20AF5">
      <w:pPr>
        <w:tabs>
          <w:tab w:val="decimal" w:pos="3119"/>
        </w:tabs>
        <w:jc w:val="both"/>
      </w:pPr>
      <w:r>
        <w:t xml:space="preserve">     Hospodářská činnost MČ vykazuje zisk se stoupající tendencí. </w:t>
      </w:r>
    </w:p>
    <w:p w:rsidR="00D20AF5" w:rsidRDefault="00D20AF5" w:rsidP="00D20AF5">
      <w:pPr>
        <w:tabs>
          <w:tab w:val="decimal" w:pos="3119"/>
        </w:tabs>
        <w:jc w:val="both"/>
      </w:pPr>
      <w:r>
        <w:t>Významný je výnos z pronájmů pozemků.</w:t>
      </w:r>
      <w:r w:rsidR="008C3760">
        <w:t xml:space="preserve"> </w:t>
      </w:r>
    </w:p>
    <w:p w:rsidR="00D20AF5" w:rsidRDefault="00D20AF5" w:rsidP="00D20AF5">
      <w:pPr>
        <w:jc w:val="both"/>
      </w:pPr>
      <w:r>
        <w:t xml:space="preserve">     Výnosy z pronájmů nebytových prostor a pozemků probíhaly podle nájemních smluv, tam, kde smlouvy obsahují inflační doložku, bylo nájemné valorizováno podle procenta inflace vyhlášeného ČSÚ.</w:t>
      </w:r>
    </w:p>
    <w:p w:rsidR="00D20AF5" w:rsidRDefault="00D20AF5" w:rsidP="00D20AF5">
      <w:pPr>
        <w:jc w:val="both"/>
      </w:pPr>
      <w:r>
        <w:t xml:space="preserve">     Největší položkou nákladů jsou provozní náklady Domu s Chráněnými byty, které zahrnují mj.</w:t>
      </w:r>
      <w:r w:rsidR="00BC791F">
        <w:t xml:space="preserve"> </w:t>
      </w:r>
      <w:r>
        <w:t>ostrahu objektu, údržbu a opravy plynové kotelny a výtahu, pravidelné revize a odstranění vad vyplývajících z revizí, požární prohlídky, mzdové náklady na správce, úklid a podíl režijních mzdových nákladů zaměstnanců úřadu spravujících agendu hospodářské činnosti. Podíl mezd zaměstnanců je do nákladů VHČ zahrnován na základě připomínek kontrolních orgánů.  MČ poskytuje některým nájemcům příspěvek na nájem.</w:t>
      </w:r>
      <w:r w:rsidR="008C3760">
        <w:t xml:space="preserve"> </w:t>
      </w:r>
    </w:p>
    <w:p w:rsidR="008C3760" w:rsidRDefault="008C3760" w:rsidP="00D20AF5">
      <w:pPr>
        <w:jc w:val="both"/>
      </w:pPr>
      <w:r>
        <w:t xml:space="preserve">Investiční výdaje </w:t>
      </w:r>
      <w:r w:rsidR="00326714">
        <w:t>do objektu j</w:t>
      </w:r>
      <w:r>
        <w:t>sou vynakládány prostřednictvím rozpočtu hlavní činnosti</w:t>
      </w:r>
      <w:r w:rsidR="00326714">
        <w:t>.</w:t>
      </w:r>
    </w:p>
    <w:p w:rsidR="00326714" w:rsidRDefault="00326714" w:rsidP="00326714">
      <w:pPr>
        <w:jc w:val="both"/>
      </w:pPr>
      <w:r>
        <w:lastRenderedPageBreak/>
        <w:t xml:space="preserve">  MČ má zřízen peněžní fond pro potřeby Domu s chráněnými byty, viz oddíl V.</w:t>
      </w:r>
      <w:r>
        <w:t>, do něhož je část hospodářského výsledku převáděna.</w:t>
      </w:r>
    </w:p>
    <w:p w:rsidR="00D20AF5" w:rsidRDefault="00D20AF5" w:rsidP="00D20AF5">
      <w:pPr>
        <w:jc w:val="both"/>
      </w:pPr>
      <w:r>
        <w:t xml:space="preserve">     Daň z příjmu právnických osob</w:t>
      </w:r>
      <w:r w:rsidR="00085DA3">
        <w:t xml:space="preserve"> </w:t>
      </w:r>
      <w:r>
        <w:t xml:space="preserve">je </w:t>
      </w:r>
      <w:r w:rsidR="00085DA3">
        <w:t>p</w:t>
      </w:r>
      <w:r>
        <w:t xml:space="preserve">ředepsána k zaplacení </w:t>
      </w:r>
      <w:r w:rsidR="00E2558A">
        <w:t xml:space="preserve">MHMP </w:t>
      </w:r>
      <w:r>
        <w:t>v červnu 20</w:t>
      </w:r>
      <w:r w:rsidR="00B80F41">
        <w:t>20</w:t>
      </w:r>
      <w:r w:rsidR="00E2558A">
        <w:t>.</w:t>
      </w:r>
      <w:r>
        <w:t xml:space="preserve"> Po uzavření hospodaření vlastního hlavního města, pravděpodobně v červenci, nám bude 100% vrácena formou neinvestiční dotace do rozpočtu hlavní činnosti MČ. </w:t>
      </w:r>
    </w:p>
    <w:p w:rsidR="00D20AF5" w:rsidRDefault="00D20AF5" w:rsidP="00D20AF5">
      <w:pPr>
        <w:jc w:val="both"/>
      </w:pPr>
      <w:r>
        <w:t xml:space="preserve">     </w:t>
      </w:r>
    </w:p>
    <w:p w:rsidR="00D20AF5" w:rsidRDefault="00D20AF5" w:rsidP="00A75F95">
      <w:pPr>
        <w:tabs>
          <w:tab w:val="decimal" w:pos="3420"/>
          <w:tab w:val="decimal" w:pos="5220"/>
          <w:tab w:val="decimal" w:pos="6660"/>
          <w:tab w:val="decimal" w:pos="8460"/>
        </w:tabs>
        <w:rPr>
          <w:bCs/>
          <w:szCs w:val="20"/>
        </w:rPr>
      </w:pPr>
    </w:p>
    <w:p w:rsidR="00A75F95" w:rsidRDefault="00A75F95" w:rsidP="007702B1">
      <w:pPr>
        <w:pStyle w:val="Zhlav"/>
        <w:tabs>
          <w:tab w:val="clear" w:pos="4536"/>
        </w:tabs>
        <w:jc w:val="both"/>
      </w:pPr>
    </w:p>
    <w:sectPr w:rsidR="00A75F95" w:rsidSect="00F916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876" w:rsidRDefault="005B0876">
      <w:r>
        <w:separator/>
      </w:r>
    </w:p>
  </w:endnote>
  <w:endnote w:type="continuationSeparator" w:id="0">
    <w:p w:rsidR="005B0876" w:rsidRDefault="005B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787697"/>
      <w:docPartObj>
        <w:docPartGallery w:val="Page Numbers (Bottom of Page)"/>
        <w:docPartUnique/>
      </w:docPartObj>
    </w:sdtPr>
    <w:sdtEndPr/>
    <w:sdtContent>
      <w:p w:rsidR="00D2170B" w:rsidRDefault="00D2170B">
        <w:pPr>
          <w:pStyle w:val="Zpat"/>
          <w:jc w:val="center"/>
        </w:pPr>
        <w:r>
          <w:fldChar w:fldCharType="begin"/>
        </w:r>
        <w:r>
          <w:instrText>PAGE   \* MERGEFORMAT</w:instrText>
        </w:r>
        <w:r>
          <w:fldChar w:fldCharType="separate"/>
        </w:r>
        <w:r w:rsidR="00AB57C3">
          <w:rPr>
            <w:noProof/>
          </w:rPr>
          <w:t>6</w:t>
        </w:r>
        <w:r>
          <w:fldChar w:fldCharType="end"/>
        </w:r>
      </w:p>
    </w:sdtContent>
  </w:sdt>
  <w:p w:rsidR="005B0876" w:rsidRDefault="005B08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876" w:rsidRDefault="005B0876">
      <w:r>
        <w:separator/>
      </w:r>
    </w:p>
  </w:footnote>
  <w:footnote w:type="continuationSeparator" w:id="0">
    <w:p w:rsidR="005B0876" w:rsidRDefault="005B0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752C7"/>
    <w:multiLevelType w:val="hybridMultilevel"/>
    <w:tmpl w:val="B7FCDF3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A824A23"/>
    <w:multiLevelType w:val="hybridMultilevel"/>
    <w:tmpl w:val="77A0A13C"/>
    <w:lvl w:ilvl="0" w:tplc="593493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C0544A"/>
    <w:multiLevelType w:val="hybridMultilevel"/>
    <w:tmpl w:val="912A9A8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63C712F0"/>
    <w:multiLevelType w:val="hybridMultilevel"/>
    <w:tmpl w:val="469AF1BE"/>
    <w:lvl w:ilvl="0" w:tplc="0405000F">
      <w:start w:val="1"/>
      <w:numFmt w:val="decimal"/>
      <w:lvlText w:val="%1."/>
      <w:lvlJc w:val="left"/>
      <w:pPr>
        <w:tabs>
          <w:tab w:val="num" w:pos="360"/>
        </w:tabs>
        <w:ind w:left="360" w:hanging="360"/>
      </w:pPr>
      <w:rPr>
        <w:rFonts w:cs="Times New Roman"/>
      </w:rPr>
    </w:lvl>
    <w:lvl w:ilvl="1" w:tplc="B1545944">
      <w:start w:val="25"/>
      <w:numFmt w:val="bullet"/>
      <w:lvlText w:val="-"/>
      <w:lvlJc w:val="left"/>
      <w:pPr>
        <w:tabs>
          <w:tab w:val="num" w:pos="1080"/>
        </w:tabs>
        <w:ind w:left="1080" w:hanging="360"/>
      </w:pPr>
      <w:rPr>
        <w:rFonts w:ascii="Times New Roman" w:eastAsia="Times New Roman" w:hAnsi="Times New Roman" w:hint="default"/>
      </w:rPr>
    </w:lvl>
    <w:lvl w:ilvl="2" w:tplc="9F503BAE">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78"/>
    <w:rsid w:val="00004710"/>
    <w:rsid w:val="00010228"/>
    <w:rsid w:val="00010C07"/>
    <w:rsid w:val="0001122E"/>
    <w:rsid w:val="00013825"/>
    <w:rsid w:val="00014E76"/>
    <w:rsid w:val="00016F76"/>
    <w:rsid w:val="0001752E"/>
    <w:rsid w:val="000242B9"/>
    <w:rsid w:val="00027AE6"/>
    <w:rsid w:val="00030005"/>
    <w:rsid w:val="0003064F"/>
    <w:rsid w:val="00035C9F"/>
    <w:rsid w:val="000443E9"/>
    <w:rsid w:val="000521C8"/>
    <w:rsid w:val="00052FC3"/>
    <w:rsid w:val="0005336E"/>
    <w:rsid w:val="0005719F"/>
    <w:rsid w:val="00060516"/>
    <w:rsid w:val="000605F4"/>
    <w:rsid w:val="00061D41"/>
    <w:rsid w:val="00067C1C"/>
    <w:rsid w:val="0007485B"/>
    <w:rsid w:val="00074E0A"/>
    <w:rsid w:val="00075B5C"/>
    <w:rsid w:val="00076EDB"/>
    <w:rsid w:val="00082171"/>
    <w:rsid w:val="00085DA3"/>
    <w:rsid w:val="00090175"/>
    <w:rsid w:val="00094466"/>
    <w:rsid w:val="00095699"/>
    <w:rsid w:val="000A08E6"/>
    <w:rsid w:val="000A0D5A"/>
    <w:rsid w:val="000A1178"/>
    <w:rsid w:val="000B254B"/>
    <w:rsid w:val="000C1511"/>
    <w:rsid w:val="000C58B3"/>
    <w:rsid w:val="000C65E3"/>
    <w:rsid w:val="000D142A"/>
    <w:rsid w:val="000D168B"/>
    <w:rsid w:val="000D3D03"/>
    <w:rsid w:val="000D4359"/>
    <w:rsid w:val="000D44A3"/>
    <w:rsid w:val="000D6CED"/>
    <w:rsid w:val="000F3F90"/>
    <w:rsid w:val="000F42D0"/>
    <w:rsid w:val="00102C13"/>
    <w:rsid w:val="00107C3E"/>
    <w:rsid w:val="00112B45"/>
    <w:rsid w:val="001137EB"/>
    <w:rsid w:val="0013092E"/>
    <w:rsid w:val="00131853"/>
    <w:rsid w:val="001339BD"/>
    <w:rsid w:val="00136E22"/>
    <w:rsid w:val="00136EBF"/>
    <w:rsid w:val="00141AD2"/>
    <w:rsid w:val="00142DA8"/>
    <w:rsid w:val="00152F9E"/>
    <w:rsid w:val="001542DD"/>
    <w:rsid w:val="00154EAD"/>
    <w:rsid w:val="001557F6"/>
    <w:rsid w:val="00165DF6"/>
    <w:rsid w:val="00166B8E"/>
    <w:rsid w:val="00170522"/>
    <w:rsid w:val="00175023"/>
    <w:rsid w:val="00175CBB"/>
    <w:rsid w:val="00176F54"/>
    <w:rsid w:val="00182622"/>
    <w:rsid w:val="001913C2"/>
    <w:rsid w:val="00193A7A"/>
    <w:rsid w:val="00194549"/>
    <w:rsid w:val="00196737"/>
    <w:rsid w:val="00197533"/>
    <w:rsid w:val="001A3919"/>
    <w:rsid w:val="001A6F61"/>
    <w:rsid w:val="001C78CC"/>
    <w:rsid w:val="001D1931"/>
    <w:rsid w:val="001D39C2"/>
    <w:rsid w:val="001D57EA"/>
    <w:rsid w:val="001D608C"/>
    <w:rsid w:val="001D620F"/>
    <w:rsid w:val="001E455E"/>
    <w:rsid w:val="001F036B"/>
    <w:rsid w:val="001F27F5"/>
    <w:rsid w:val="001F5C2A"/>
    <w:rsid w:val="00200375"/>
    <w:rsid w:val="00203040"/>
    <w:rsid w:val="00211C38"/>
    <w:rsid w:val="002123ED"/>
    <w:rsid w:val="002205C3"/>
    <w:rsid w:val="00226C42"/>
    <w:rsid w:val="0023699A"/>
    <w:rsid w:val="00242793"/>
    <w:rsid w:val="00244AD4"/>
    <w:rsid w:val="00245CD9"/>
    <w:rsid w:val="002467C3"/>
    <w:rsid w:val="00252198"/>
    <w:rsid w:val="00253B9A"/>
    <w:rsid w:val="00257620"/>
    <w:rsid w:val="00260DE1"/>
    <w:rsid w:val="00264B6C"/>
    <w:rsid w:val="00265AF9"/>
    <w:rsid w:val="00273DC0"/>
    <w:rsid w:val="00284A3D"/>
    <w:rsid w:val="00290CB3"/>
    <w:rsid w:val="002917FC"/>
    <w:rsid w:val="002924AA"/>
    <w:rsid w:val="002B1D7B"/>
    <w:rsid w:val="002B2F1A"/>
    <w:rsid w:val="002C0EFA"/>
    <w:rsid w:val="002C2EEF"/>
    <w:rsid w:val="002C760A"/>
    <w:rsid w:val="002C7F5D"/>
    <w:rsid w:val="002D0C25"/>
    <w:rsid w:val="002D1740"/>
    <w:rsid w:val="002D2257"/>
    <w:rsid w:val="002E0C1D"/>
    <w:rsid w:val="002E18C3"/>
    <w:rsid w:val="002E1BCD"/>
    <w:rsid w:val="002E6AEA"/>
    <w:rsid w:val="002E73EB"/>
    <w:rsid w:val="002F0DBE"/>
    <w:rsid w:val="002F37C5"/>
    <w:rsid w:val="002F587D"/>
    <w:rsid w:val="00300C4E"/>
    <w:rsid w:val="00302408"/>
    <w:rsid w:val="0030319E"/>
    <w:rsid w:val="00303B5F"/>
    <w:rsid w:val="00306C70"/>
    <w:rsid w:val="00307359"/>
    <w:rsid w:val="0031032F"/>
    <w:rsid w:val="0031118A"/>
    <w:rsid w:val="00314098"/>
    <w:rsid w:val="00326714"/>
    <w:rsid w:val="003270C7"/>
    <w:rsid w:val="003277D2"/>
    <w:rsid w:val="00330AD8"/>
    <w:rsid w:val="00331EE8"/>
    <w:rsid w:val="00333845"/>
    <w:rsid w:val="00335DAB"/>
    <w:rsid w:val="00337E0D"/>
    <w:rsid w:val="003415C2"/>
    <w:rsid w:val="0034274D"/>
    <w:rsid w:val="00343DAF"/>
    <w:rsid w:val="0034469D"/>
    <w:rsid w:val="00347470"/>
    <w:rsid w:val="00350CF5"/>
    <w:rsid w:val="00352E6B"/>
    <w:rsid w:val="00355286"/>
    <w:rsid w:val="00361625"/>
    <w:rsid w:val="0037391A"/>
    <w:rsid w:val="0037440D"/>
    <w:rsid w:val="00380E01"/>
    <w:rsid w:val="003833FB"/>
    <w:rsid w:val="003840B1"/>
    <w:rsid w:val="00384829"/>
    <w:rsid w:val="0039049E"/>
    <w:rsid w:val="00391AE0"/>
    <w:rsid w:val="00391CDF"/>
    <w:rsid w:val="00396E27"/>
    <w:rsid w:val="00397C9F"/>
    <w:rsid w:val="00397F54"/>
    <w:rsid w:val="003A0876"/>
    <w:rsid w:val="003A13C6"/>
    <w:rsid w:val="003A21E6"/>
    <w:rsid w:val="003B0F69"/>
    <w:rsid w:val="003B10B3"/>
    <w:rsid w:val="003B3218"/>
    <w:rsid w:val="003B5017"/>
    <w:rsid w:val="003B674C"/>
    <w:rsid w:val="003C015D"/>
    <w:rsid w:val="003C025E"/>
    <w:rsid w:val="003C181D"/>
    <w:rsid w:val="003C45AB"/>
    <w:rsid w:val="003C6954"/>
    <w:rsid w:val="003D0F3A"/>
    <w:rsid w:val="003D4EB0"/>
    <w:rsid w:val="003D7AB6"/>
    <w:rsid w:val="003E186B"/>
    <w:rsid w:val="003E1C47"/>
    <w:rsid w:val="003E3F69"/>
    <w:rsid w:val="003E51DB"/>
    <w:rsid w:val="003F001E"/>
    <w:rsid w:val="003F7C99"/>
    <w:rsid w:val="00401F82"/>
    <w:rsid w:val="00405BF4"/>
    <w:rsid w:val="0041283F"/>
    <w:rsid w:val="004134D5"/>
    <w:rsid w:val="0042421B"/>
    <w:rsid w:val="004358AF"/>
    <w:rsid w:val="004407B8"/>
    <w:rsid w:val="00446BE7"/>
    <w:rsid w:val="00460635"/>
    <w:rsid w:val="0046102A"/>
    <w:rsid w:val="0046322E"/>
    <w:rsid w:val="004648D6"/>
    <w:rsid w:val="00467810"/>
    <w:rsid w:val="00467D5B"/>
    <w:rsid w:val="00470E16"/>
    <w:rsid w:val="00475C08"/>
    <w:rsid w:val="004777C0"/>
    <w:rsid w:val="00482A4A"/>
    <w:rsid w:val="00484A93"/>
    <w:rsid w:val="00491692"/>
    <w:rsid w:val="00494D82"/>
    <w:rsid w:val="00495F44"/>
    <w:rsid w:val="004A361F"/>
    <w:rsid w:val="004A4021"/>
    <w:rsid w:val="004A5F5C"/>
    <w:rsid w:val="004A6DFC"/>
    <w:rsid w:val="004B01DE"/>
    <w:rsid w:val="004B649E"/>
    <w:rsid w:val="004B657F"/>
    <w:rsid w:val="004C1A9A"/>
    <w:rsid w:val="004C4750"/>
    <w:rsid w:val="004C497A"/>
    <w:rsid w:val="004C6578"/>
    <w:rsid w:val="004C7247"/>
    <w:rsid w:val="004D3F1C"/>
    <w:rsid w:val="004E228D"/>
    <w:rsid w:val="004E3C85"/>
    <w:rsid w:val="004E3F92"/>
    <w:rsid w:val="004F21ED"/>
    <w:rsid w:val="004F4B67"/>
    <w:rsid w:val="004F7C87"/>
    <w:rsid w:val="00501F93"/>
    <w:rsid w:val="00506237"/>
    <w:rsid w:val="00506440"/>
    <w:rsid w:val="00510706"/>
    <w:rsid w:val="00521109"/>
    <w:rsid w:val="005214D5"/>
    <w:rsid w:val="00523560"/>
    <w:rsid w:val="00525C4A"/>
    <w:rsid w:val="0052609F"/>
    <w:rsid w:val="00527A40"/>
    <w:rsid w:val="00535E9C"/>
    <w:rsid w:val="005368DB"/>
    <w:rsid w:val="00537678"/>
    <w:rsid w:val="00542961"/>
    <w:rsid w:val="00546EAA"/>
    <w:rsid w:val="0056239C"/>
    <w:rsid w:val="005632FD"/>
    <w:rsid w:val="005719FB"/>
    <w:rsid w:val="0057642C"/>
    <w:rsid w:val="00576DD4"/>
    <w:rsid w:val="00581F99"/>
    <w:rsid w:val="00583B45"/>
    <w:rsid w:val="00587852"/>
    <w:rsid w:val="0059183E"/>
    <w:rsid w:val="0059473D"/>
    <w:rsid w:val="00595153"/>
    <w:rsid w:val="005978A1"/>
    <w:rsid w:val="005A382D"/>
    <w:rsid w:val="005A77E3"/>
    <w:rsid w:val="005B0876"/>
    <w:rsid w:val="005B30C2"/>
    <w:rsid w:val="005B4B3C"/>
    <w:rsid w:val="005B6167"/>
    <w:rsid w:val="005C4AE1"/>
    <w:rsid w:val="005D19C4"/>
    <w:rsid w:val="005D747B"/>
    <w:rsid w:val="005E0286"/>
    <w:rsid w:val="005E173B"/>
    <w:rsid w:val="005E6738"/>
    <w:rsid w:val="005E736B"/>
    <w:rsid w:val="005F13E4"/>
    <w:rsid w:val="005F5527"/>
    <w:rsid w:val="00613412"/>
    <w:rsid w:val="00616D69"/>
    <w:rsid w:val="006220F9"/>
    <w:rsid w:val="00630830"/>
    <w:rsid w:val="00635CDF"/>
    <w:rsid w:val="00637220"/>
    <w:rsid w:val="006501A1"/>
    <w:rsid w:val="0065274F"/>
    <w:rsid w:val="00653063"/>
    <w:rsid w:val="00654170"/>
    <w:rsid w:val="0065752B"/>
    <w:rsid w:val="006606D8"/>
    <w:rsid w:val="00662CBB"/>
    <w:rsid w:val="00664A07"/>
    <w:rsid w:val="006718A7"/>
    <w:rsid w:val="006833B4"/>
    <w:rsid w:val="006914D6"/>
    <w:rsid w:val="00691D78"/>
    <w:rsid w:val="006A07B4"/>
    <w:rsid w:val="006A1051"/>
    <w:rsid w:val="006A71E3"/>
    <w:rsid w:val="006B3C66"/>
    <w:rsid w:val="006C0CB1"/>
    <w:rsid w:val="006D1F19"/>
    <w:rsid w:val="006D2BCE"/>
    <w:rsid w:val="006E3DE2"/>
    <w:rsid w:val="006E4C85"/>
    <w:rsid w:val="006E5AC4"/>
    <w:rsid w:val="006F46C6"/>
    <w:rsid w:val="006F7321"/>
    <w:rsid w:val="00703A15"/>
    <w:rsid w:val="0070464A"/>
    <w:rsid w:val="00710DD5"/>
    <w:rsid w:val="00724294"/>
    <w:rsid w:val="00725759"/>
    <w:rsid w:val="007322E7"/>
    <w:rsid w:val="0073562C"/>
    <w:rsid w:val="00744E1D"/>
    <w:rsid w:val="00745CAD"/>
    <w:rsid w:val="007503F3"/>
    <w:rsid w:val="00752395"/>
    <w:rsid w:val="0075630C"/>
    <w:rsid w:val="00756E29"/>
    <w:rsid w:val="00760750"/>
    <w:rsid w:val="00760C55"/>
    <w:rsid w:val="007611F9"/>
    <w:rsid w:val="00763A89"/>
    <w:rsid w:val="007702B1"/>
    <w:rsid w:val="00770B80"/>
    <w:rsid w:val="0077390C"/>
    <w:rsid w:val="00780A8F"/>
    <w:rsid w:val="00783E9C"/>
    <w:rsid w:val="0079190B"/>
    <w:rsid w:val="00792151"/>
    <w:rsid w:val="007930CC"/>
    <w:rsid w:val="00796F63"/>
    <w:rsid w:val="007A1F85"/>
    <w:rsid w:val="007A3BD4"/>
    <w:rsid w:val="007A56CE"/>
    <w:rsid w:val="007B6B96"/>
    <w:rsid w:val="007C369F"/>
    <w:rsid w:val="007C7FE1"/>
    <w:rsid w:val="007D2338"/>
    <w:rsid w:val="007E2B8F"/>
    <w:rsid w:val="007E5C30"/>
    <w:rsid w:val="007F2B06"/>
    <w:rsid w:val="00800509"/>
    <w:rsid w:val="00802A80"/>
    <w:rsid w:val="008071CA"/>
    <w:rsid w:val="00814291"/>
    <w:rsid w:val="00817D06"/>
    <w:rsid w:val="00821D2E"/>
    <w:rsid w:val="00822E0F"/>
    <w:rsid w:val="00822FCB"/>
    <w:rsid w:val="0082459A"/>
    <w:rsid w:val="008274F9"/>
    <w:rsid w:val="00831205"/>
    <w:rsid w:val="00837CD7"/>
    <w:rsid w:val="00840330"/>
    <w:rsid w:val="0084168D"/>
    <w:rsid w:val="00843B3C"/>
    <w:rsid w:val="00850E6D"/>
    <w:rsid w:val="00850FA3"/>
    <w:rsid w:val="00852B76"/>
    <w:rsid w:val="00853200"/>
    <w:rsid w:val="00854BB3"/>
    <w:rsid w:val="0085535F"/>
    <w:rsid w:val="00867B0C"/>
    <w:rsid w:val="00871B4E"/>
    <w:rsid w:val="00874689"/>
    <w:rsid w:val="00876472"/>
    <w:rsid w:val="0089130B"/>
    <w:rsid w:val="00893214"/>
    <w:rsid w:val="00893FBC"/>
    <w:rsid w:val="008A34C9"/>
    <w:rsid w:val="008A40CE"/>
    <w:rsid w:val="008A4BFD"/>
    <w:rsid w:val="008A5B06"/>
    <w:rsid w:val="008A5C46"/>
    <w:rsid w:val="008A5E7F"/>
    <w:rsid w:val="008B3151"/>
    <w:rsid w:val="008B3ADC"/>
    <w:rsid w:val="008B7A06"/>
    <w:rsid w:val="008B7BB2"/>
    <w:rsid w:val="008C163E"/>
    <w:rsid w:val="008C1DD1"/>
    <w:rsid w:val="008C3760"/>
    <w:rsid w:val="008D1A4C"/>
    <w:rsid w:val="008D265C"/>
    <w:rsid w:val="008D2FAC"/>
    <w:rsid w:val="008D31C9"/>
    <w:rsid w:val="008D3738"/>
    <w:rsid w:val="008D50E8"/>
    <w:rsid w:val="008E6C50"/>
    <w:rsid w:val="008F29D2"/>
    <w:rsid w:val="008F4303"/>
    <w:rsid w:val="008F53B0"/>
    <w:rsid w:val="00903886"/>
    <w:rsid w:val="00910ACF"/>
    <w:rsid w:val="009135DB"/>
    <w:rsid w:val="0091505C"/>
    <w:rsid w:val="00917EFA"/>
    <w:rsid w:val="009200B6"/>
    <w:rsid w:val="00922BC6"/>
    <w:rsid w:val="00922C69"/>
    <w:rsid w:val="00923606"/>
    <w:rsid w:val="00924BB8"/>
    <w:rsid w:val="00931A8D"/>
    <w:rsid w:val="009346E1"/>
    <w:rsid w:val="00946AF3"/>
    <w:rsid w:val="009523C8"/>
    <w:rsid w:val="00957E7E"/>
    <w:rsid w:val="00970386"/>
    <w:rsid w:val="00974865"/>
    <w:rsid w:val="009763C2"/>
    <w:rsid w:val="00981E05"/>
    <w:rsid w:val="00982DD9"/>
    <w:rsid w:val="0098478F"/>
    <w:rsid w:val="00985E1C"/>
    <w:rsid w:val="009914AE"/>
    <w:rsid w:val="00993673"/>
    <w:rsid w:val="00993F02"/>
    <w:rsid w:val="00994EDA"/>
    <w:rsid w:val="009A07C2"/>
    <w:rsid w:val="009A2E41"/>
    <w:rsid w:val="009A30C9"/>
    <w:rsid w:val="009B49D7"/>
    <w:rsid w:val="009B7662"/>
    <w:rsid w:val="009C0553"/>
    <w:rsid w:val="009C0E5B"/>
    <w:rsid w:val="009C1EA0"/>
    <w:rsid w:val="009D002C"/>
    <w:rsid w:val="009D70F1"/>
    <w:rsid w:val="009E267C"/>
    <w:rsid w:val="009E3998"/>
    <w:rsid w:val="009F1EC8"/>
    <w:rsid w:val="009F727C"/>
    <w:rsid w:val="00A0063C"/>
    <w:rsid w:val="00A057D0"/>
    <w:rsid w:val="00A0760C"/>
    <w:rsid w:val="00A269E0"/>
    <w:rsid w:val="00A278F4"/>
    <w:rsid w:val="00A27DF2"/>
    <w:rsid w:val="00A43CD2"/>
    <w:rsid w:val="00A4502B"/>
    <w:rsid w:val="00A5331D"/>
    <w:rsid w:val="00A55037"/>
    <w:rsid w:val="00A55180"/>
    <w:rsid w:val="00A57F70"/>
    <w:rsid w:val="00A608A1"/>
    <w:rsid w:val="00A62837"/>
    <w:rsid w:val="00A6301B"/>
    <w:rsid w:val="00A63111"/>
    <w:rsid w:val="00A643B3"/>
    <w:rsid w:val="00A65E2F"/>
    <w:rsid w:val="00A67E91"/>
    <w:rsid w:val="00A73645"/>
    <w:rsid w:val="00A75F95"/>
    <w:rsid w:val="00A76252"/>
    <w:rsid w:val="00A778D4"/>
    <w:rsid w:val="00A808D2"/>
    <w:rsid w:val="00A83824"/>
    <w:rsid w:val="00A83870"/>
    <w:rsid w:val="00A91152"/>
    <w:rsid w:val="00A920B0"/>
    <w:rsid w:val="00AA2BBE"/>
    <w:rsid w:val="00AA7254"/>
    <w:rsid w:val="00AB0AB2"/>
    <w:rsid w:val="00AB4ADA"/>
    <w:rsid w:val="00AB57C3"/>
    <w:rsid w:val="00AB6340"/>
    <w:rsid w:val="00AC0D33"/>
    <w:rsid w:val="00AC2F8A"/>
    <w:rsid w:val="00AC4158"/>
    <w:rsid w:val="00AC50F1"/>
    <w:rsid w:val="00AC63C5"/>
    <w:rsid w:val="00AD1ABA"/>
    <w:rsid w:val="00AD6996"/>
    <w:rsid w:val="00AE2CAF"/>
    <w:rsid w:val="00AE4CCB"/>
    <w:rsid w:val="00AF2CF8"/>
    <w:rsid w:val="00AF3D85"/>
    <w:rsid w:val="00AF4DEF"/>
    <w:rsid w:val="00B01474"/>
    <w:rsid w:val="00B021D3"/>
    <w:rsid w:val="00B132AB"/>
    <w:rsid w:val="00B147BD"/>
    <w:rsid w:val="00B17A51"/>
    <w:rsid w:val="00B2076F"/>
    <w:rsid w:val="00B22A8E"/>
    <w:rsid w:val="00B274C0"/>
    <w:rsid w:val="00B31468"/>
    <w:rsid w:val="00B31FE9"/>
    <w:rsid w:val="00B34C6E"/>
    <w:rsid w:val="00B402D0"/>
    <w:rsid w:val="00B404CF"/>
    <w:rsid w:val="00B443F3"/>
    <w:rsid w:val="00B47479"/>
    <w:rsid w:val="00B50236"/>
    <w:rsid w:val="00B52DE0"/>
    <w:rsid w:val="00B6371B"/>
    <w:rsid w:val="00B7518D"/>
    <w:rsid w:val="00B769B8"/>
    <w:rsid w:val="00B80F41"/>
    <w:rsid w:val="00B81CE5"/>
    <w:rsid w:val="00B83FF3"/>
    <w:rsid w:val="00B849A2"/>
    <w:rsid w:val="00B8674D"/>
    <w:rsid w:val="00B92DC7"/>
    <w:rsid w:val="00B93EAE"/>
    <w:rsid w:val="00B9582D"/>
    <w:rsid w:val="00B96A25"/>
    <w:rsid w:val="00B976A2"/>
    <w:rsid w:val="00B97B35"/>
    <w:rsid w:val="00BB0C06"/>
    <w:rsid w:val="00BB1ABE"/>
    <w:rsid w:val="00BB6781"/>
    <w:rsid w:val="00BC08DA"/>
    <w:rsid w:val="00BC2DB1"/>
    <w:rsid w:val="00BC2EB8"/>
    <w:rsid w:val="00BC3BBD"/>
    <w:rsid w:val="00BC791F"/>
    <w:rsid w:val="00BD0AA3"/>
    <w:rsid w:val="00BD1E5E"/>
    <w:rsid w:val="00BD502A"/>
    <w:rsid w:val="00BD7CCA"/>
    <w:rsid w:val="00BD7E4F"/>
    <w:rsid w:val="00BE2DBE"/>
    <w:rsid w:val="00BE6555"/>
    <w:rsid w:val="00BF2163"/>
    <w:rsid w:val="00BF4394"/>
    <w:rsid w:val="00BF4C24"/>
    <w:rsid w:val="00BF72A1"/>
    <w:rsid w:val="00C00F8C"/>
    <w:rsid w:val="00C0215E"/>
    <w:rsid w:val="00C026FF"/>
    <w:rsid w:val="00C03CC9"/>
    <w:rsid w:val="00C056D8"/>
    <w:rsid w:val="00C06841"/>
    <w:rsid w:val="00C1032E"/>
    <w:rsid w:val="00C125A1"/>
    <w:rsid w:val="00C14D42"/>
    <w:rsid w:val="00C1754D"/>
    <w:rsid w:val="00C27B65"/>
    <w:rsid w:val="00C354C7"/>
    <w:rsid w:val="00C42545"/>
    <w:rsid w:val="00C43744"/>
    <w:rsid w:val="00C46032"/>
    <w:rsid w:val="00C502C3"/>
    <w:rsid w:val="00C55D5C"/>
    <w:rsid w:val="00C616C1"/>
    <w:rsid w:val="00C619F1"/>
    <w:rsid w:val="00C61C3C"/>
    <w:rsid w:val="00C62487"/>
    <w:rsid w:val="00C65491"/>
    <w:rsid w:val="00C65934"/>
    <w:rsid w:val="00C65B16"/>
    <w:rsid w:val="00C70102"/>
    <w:rsid w:val="00C70841"/>
    <w:rsid w:val="00C74E53"/>
    <w:rsid w:val="00C768BB"/>
    <w:rsid w:val="00C84500"/>
    <w:rsid w:val="00C85AA1"/>
    <w:rsid w:val="00C85D29"/>
    <w:rsid w:val="00C9250C"/>
    <w:rsid w:val="00C92FFF"/>
    <w:rsid w:val="00C93A0D"/>
    <w:rsid w:val="00C9611D"/>
    <w:rsid w:val="00CA064F"/>
    <w:rsid w:val="00CA2591"/>
    <w:rsid w:val="00CA555A"/>
    <w:rsid w:val="00CB12F9"/>
    <w:rsid w:val="00CB78C1"/>
    <w:rsid w:val="00CC38DA"/>
    <w:rsid w:val="00CC3E36"/>
    <w:rsid w:val="00CD0AAD"/>
    <w:rsid w:val="00CD245C"/>
    <w:rsid w:val="00CD3C18"/>
    <w:rsid w:val="00CD48D8"/>
    <w:rsid w:val="00CE137A"/>
    <w:rsid w:val="00CE31A5"/>
    <w:rsid w:val="00CF6C07"/>
    <w:rsid w:val="00D006E1"/>
    <w:rsid w:val="00D04C90"/>
    <w:rsid w:val="00D06162"/>
    <w:rsid w:val="00D065E7"/>
    <w:rsid w:val="00D06CC0"/>
    <w:rsid w:val="00D20AF5"/>
    <w:rsid w:val="00D211D7"/>
    <w:rsid w:val="00D2170B"/>
    <w:rsid w:val="00D23E8A"/>
    <w:rsid w:val="00D25759"/>
    <w:rsid w:val="00D30988"/>
    <w:rsid w:val="00D31568"/>
    <w:rsid w:val="00D315CF"/>
    <w:rsid w:val="00D322F6"/>
    <w:rsid w:val="00D33A70"/>
    <w:rsid w:val="00D41F96"/>
    <w:rsid w:val="00D432EA"/>
    <w:rsid w:val="00D438C6"/>
    <w:rsid w:val="00D47FEB"/>
    <w:rsid w:val="00D536FA"/>
    <w:rsid w:val="00D5710D"/>
    <w:rsid w:val="00D572C5"/>
    <w:rsid w:val="00D60023"/>
    <w:rsid w:val="00D71E27"/>
    <w:rsid w:val="00D725B0"/>
    <w:rsid w:val="00D73766"/>
    <w:rsid w:val="00D73DA6"/>
    <w:rsid w:val="00D74A4E"/>
    <w:rsid w:val="00D77F12"/>
    <w:rsid w:val="00D84F8A"/>
    <w:rsid w:val="00D87B26"/>
    <w:rsid w:val="00D94061"/>
    <w:rsid w:val="00D9507E"/>
    <w:rsid w:val="00DA0AEE"/>
    <w:rsid w:val="00DA1462"/>
    <w:rsid w:val="00DA384E"/>
    <w:rsid w:val="00DA7EF1"/>
    <w:rsid w:val="00DB413A"/>
    <w:rsid w:val="00DB4F23"/>
    <w:rsid w:val="00DC2525"/>
    <w:rsid w:val="00DC2F56"/>
    <w:rsid w:val="00DC67D0"/>
    <w:rsid w:val="00DC77EC"/>
    <w:rsid w:val="00DD139F"/>
    <w:rsid w:val="00DD27C8"/>
    <w:rsid w:val="00DE1B1B"/>
    <w:rsid w:val="00DE356F"/>
    <w:rsid w:val="00DE56E6"/>
    <w:rsid w:val="00DE6474"/>
    <w:rsid w:val="00DE7CB3"/>
    <w:rsid w:val="00DF16C2"/>
    <w:rsid w:val="00DF323F"/>
    <w:rsid w:val="00DF36DA"/>
    <w:rsid w:val="00E042A5"/>
    <w:rsid w:val="00E06F5D"/>
    <w:rsid w:val="00E139EC"/>
    <w:rsid w:val="00E15D1F"/>
    <w:rsid w:val="00E2558A"/>
    <w:rsid w:val="00E30264"/>
    <w:rsid w:val="00E30707"/>
    <w:rsid w:val="00E31F43"/>
    <w:rsid w:val="00E3621A"/>
    <w:rsid w:val="00E36D48"/>
    <w:rsid w:val="00E36E34"/>
    <w:rsid w:val="00E40661"/>
    <w:rsid w:val="00E40E2E"/>
    <w:rsid w:val="00E44DCE"/>
    <w:rsid w:val="00E52C97"/>
    <w:rsid w:val="00E553A6"/>
    <w:rsid w:val="00E56098"/>
    <w:rsid w:val="00E6323C"/>
    <w:rsid w:val="00E72D76"/>
    <w:rsid w:val="00E745ED"/>
    <w:rsid w:val="00E82AA6"/>
    <w:rsid w:val="00EA1D4F"/>
    <w:rsid w:val="00EA2655"/>
    <w:rsid w:val="00EB1359"/>
    <w:rsid w:val="00EB135E"/>
    <w:rsid w:val="00EB219F"/>
    <w:rsid w:val="00EB2D76"/>
    <w:rsid w:val="00EC0FD2"/>
    <w:rsid w:val="00EC12A9"/>
    <w:rsid w:val="00EC1480"/>
    <w:rsid w:val="00ED2D0B"/>
    <w:rsid w:val="00ED705B"/>
    <w:rsid w:val="00ED7AA7"/>
    <w:rsid w:val="00EE182A"/>
    <w:rsid w:val="00EE20FA"/>
    <w:rsid w:val="00EF79A8"/>
    <w:rsid w:val="00EF7CCA"/>
    <w:rsid w:val="00F05454"/>
    <w:rsid w:val="00F075B6"/>
    <w:rsid w:val="00F12831"/>
    <w:rsid w:val="00F13595"/>
    <w:rsid w:val="00F20B09"/>
    <w:rsid w:val="00F21124"/>
    <w:rsid w:val="00F2405E"/>
    <w:rsid w:val="00F24101"/>
    <w:rsid w:val="00F263BC"/>
    <w:rsid w:val="00F31597"/>
    <w:rsid w:val="00F323AA"/>
    <w:rsid w:val="00F3270C"/>
    <w:rsid w:val="00F505E3"/>
    <w:rsid w:val="00F51D37"/>
    <w:rsid w:val="00F51E9F"/>
    <w:rsid w:val="00F5241C"/>
    <w:rsid w:val="00F531F2"/>
    <w:rsid w:val="00F55ADE"/>
    <w:rsid w:val="00F60959"/>
    <w:rsid w:val="00F65C7D"/>
    <w:rsid w:val="00F668AC"/>
    <w:rsid w:val="00F67E4A"/>
    <w:rsid w:val="00F718C2"/>
    <w:rsid w:val="00F74F6D"/>
    <w:rsid w:val="00F77923"/>
    <w:rsid w:val="00F83006"/>
    <w:rsid w:val="00F83E53"/>
    <w:rsid w:val="00F83FDF"/>
    <w:rsid w:val="00F858D8"/>
    <w:rsid w:val="00F9013F"/>
    <w:rsid w:val="00F916A6"/>
    <w:rsid w:val="00FA1F2E"/>
    <w:rsid w:val="00FA4F57"/>
    <w:rsid w:val="00FA5DCF"/>
    <w:rsid w:val="00FA5E99"/>
    <w:rsid w:val="00FB4701"/>
    <w:rsid w:val="00FC3C6D"/>
    <w:rsid w:val="00FD321C"/>
    <w:rsid w:val="00FD47FA"/>
    <w:rsid w:val="00FD7127"/>
    <w:rsid w:val="00FE2C1E"/>
    <w:rsid w:val="00FE2DC6"/>
    <w:rsid w:val="00FE5FF7"/>
    <w:rsid w:val="00FE773D"/>
    <w:rsid w:val="00FF1402"/>
    <w:rsid w:val="00FF5246"/>
    <w:rsid w:val="00FF5BB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773474-3575-4DA4-97A5-9D6B964B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42DD"/>
    <w:rPr>
      <w:sz w:val="24"/>
      <w:szCs w:val="24"/>
    </w:rPr>
  </w:style>
  <w:style w:type="paragraph" w:styleId="Nadpis1">
    <w:name w:val="heading 1"/>
    <w:basedOn w:val="Normln"/>
    <w:next w:val="Normln"/>
    <w:link w:val="Nadpis1Char"/>
    <w:uiPriority w:val="99"/>
    <w:qFormat/>
    <w:rsid w:val="00691D78"/>
    <w:pPr>
      <w:keepNext/>
      <w:tabs>
        <w:tab w:val="decimal" w:pos="1980"/>
        <w:tab w:val="decimal" w:pos="4140"/>
        <w:tab w:val="decimal" w:pos="6480"/>
        <w:tab w:val="decimal" w:pos="8460"/>
      </w:tabs>
      <w:outlineLvl w:val="0"/>
    </w:pPr>
    <w:rPr>
      <w:rFonts w:ascii="Arial" w:hAnsi="Arial" w:cs="Arial"/>
      <w:b/>
      <w:bCs/>
      <w:sz w:val="20"/>
      <w:szCs w:val="20"/>
    </w:rPr>
  </w:style>
  <w:style w:type="paragraph" w:styleId="Nadpis2">
    <w:name w:val="heading 2"/>
    <w:basedOn w:val="Normln"/>
    <w:next w:val="Normln"/>
    <w:link w:val="Nadpis2Char"/>
    <w:uiPriority w:val="99"/>
    <w:qFormat/>
    <w:rsid w:val="0098478F"/>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61C3C"/>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C61C3C"/>
    <w:rPr>
      <w:rFonts w:ascii="Cambria" w:hAnsi="Cambria" w:cs="Times New Roman"/>
      <w:b/>
      <w:bCs/>
      <w:i/>
      <w:iCs/>
      <w:sz w:val="28"/>
      <w:szCs w:val="28"/>
    </w:rPr>
  </w:style>
  <w:style w:type="paragraph" w:styleId="Zhlav">
    <w:name w:val="header"/>
    <w:basedOn w:val="Normln"/>
    <w:link w:val="ZhlavChar"/>
    <w:rsid w:val="00691D78"/>
    <w:pPr>
      <w:tabs>
        <w:tab w:val="center" w:pos="4536"/>
        <w:tab w:val="right" w:pos="9072"/>
      </w:tabs>
    </w:pPr>
    <w:rPr>
      <w:szCs w:val="20"/>
    </w:rPr>
  </w:style>
  <w:style w:type="character" w:customStyle="1" w:styleId="HeaderChar">
    <w:name w:val="Header Char"/>
    <w:basedOn w:val="Standardnpsmoodstavce"/>
    <w:uiPriority w:val="99"/>
    <w:locked/>
    <w:rsid w:val="00242793"/>
    <w:rPr>
      <w:rFonts w:eastAsia="Times New Roman" w:cs="Times New Roman"/>
      <w:sz w:val="24"/>
      <w:szCs w:val="24"/>
      <w:lang w:eastAsia="cs-CZ"/>
    </w:rPr>
  </w:style>
  <w:style w:type="paragraph" w:styleId="Zkladntext2">
    <w:name w:val="Body Text 2"/>
    <w:basedOn w:val="Normln"/>
    <w:link w:val="Zkladntext2Char"/>
    <w:uiPriority w:val="99"/>
    <w:rsid w:val="00691D78"/>
    <w:pPr>
      <w:tabs>
        <w:tab w:val="decimal" w:pos="1980"/>
        <w:tab w:val="decimal" w:pos="4140"/>
        <w:tab w:val="decimal" w:pos="6480"/>
        <w:tab w:val="decimal" w:pos="8460"/>
      </w:tabs>
      <w:jc w:val="both"/>
    </w:pPr>
    <w:rPr>
      <w:rFonts w:ascii="Arial" w:hAnsi="Arial" w:cs="Arial"/>
      <w:sz w:val="20"/>
      <w:szCs w:val="20"/>
    </w:rPr>
  </w:style>
  <w:style w:type="character" w:customStyle="1" w:styleId="Zkladntext2Char">
    <w:name w:val="Základní text 2 Char"/>
    <w:basedOn w:val="Standardnpsmoodstavce"/>
    <w:link w:val="Zkladntext2"/>
    <w:uiPriority w:val="99"/>
    <w:semiHidden/>
    <w:locked/>
    <w:rsid w:val="00C61C3C"/>
    <w:rPr>
      <w:rFonts w:cs="Times New Roman"/>
      <w:sz w:val="24"/>
      <w:szCs w:val="24"/>
    </w:rPr>
  </w:style>
  <w:style w:type="paragraph" w:styleId="Zkladntext">
    <w:name w:val="Body Text"/>
    <w:basedOn w:val="Normln"/>
    <w:link w:val="ZkladntextChar"/>
    <w:uiPriority w:val="99"/>
    <w:rsid w:val="00691D78"/>
    <w:pPr>
      <w:spacing w:after="120"/>
    </w:pPr>
  </w:style>
  <w:style w:type="character" w:customStyle="1" w:styleId="ZkladntextChar">
    <w:name w:val="Základní text Char"/>
    <w:basedOn w:val="Standardnpsmoodstavce"/>
    <w:link w:val="Zkladntext"/>
    <w:uiPriority w:val="99"/>
    <w:semiHidden/>
    <w:locked/>
    <w:rsid w:val="00C61C3C"/>
    <w:rPr>
      <w:rFonts w:cs="Times New Roman"/>
      <w:sz w:val="24"/>
      <w:szCs w:val="24"/>
    </w:rPr>
  </w:style>
  <w:style w:type="paragraph" w:styleId="Zkladntext3">
    <w:name w:val="Body Text 3"/>
    <w:basedOn w:val="Normln"/>
    <w:link w:val="Zkladntext3Char"/>
    <w:uiPriority w:val="99"/>
    <w:rsid w:val="00691D78"/>
    <w:pPr>
      <w:spacing w:after="120"/>
    </w:pPr>
    <w:rPr>
      <w:sz w:val="16"/>
      <w:szCs w:val="16"/>
    </w:rPr>
  </w:style>
  <w:style w:type="character" w:customStyle="1" w:styleId="Zkladntext3Char">
    <w:name w:val="Základní text 3 Char"/>
    <w:basedOn w:val="Standardnpsmoodstavce"/>
    <w:link w:val="Zkladntext3"/>
    <w:uiPriority w:val="99"/>
    <w:semiHidden/>
    <w:locked/>
    <w:rsid w:val="00C61C3C"/>
    <w:rPr>
      <w:rFonts w:cs="Times New Roman"/>
      <w:sz w:val="16"/>
      <w:szCs w:val="16"/>
    </w:rPr>
  </w:style>
  <w:style w:type="paragraph" w:styleId="Zkladntextodsazen3">
    <w:name w:val="Body Text Indent 3"/>
    <w:basedOn w:val="Normln"/>
    <w:link w:val="Zkladntextodsazen3Char"/>
    <w:uiPriority w:val="99"/>
    <w:rsid w:val="0098478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C61C3C"/>
    <w:rPr>
      <w:rFonts w:cs="Times New Roman"/>
      <w:sz w:val="16"/>
      <w:szCs w:val="16"/>
    </w:rPr>
  </w:style>
  <w:style w:type="paragraph" w:styleId="Zpat">
    <w:name w:val="footer"/>
    <w:basedOn w:val="Normln"/>
    <w:link w:val="ZpatChar"/>
    <w:uiPriority w:val="99"/>
    <w:rsid w:val="00A278F4"/>
    <w:pPr>
      <w:tabs>
        <w:tab w:val="center" w:pos="4536"/>
        <w:tab w:val="right" w:pos="9072"/>
      </w:tabs>
    </w:pPr>
  </w:style>
  <w:style w:type="character" w:customStyle="1" w:styleId="ZpatChar">
    <w:name w:val="Zápatí Char"/>
    <w:basedOn w:val="Standardnpsmoodstavce"/>
    <w:link w:val="Zpat"/>
    <w:uiPriority w:val="99"/>
    <w:locked/>
    <w:rsid w:val="00C61C3C"/>
    <w:rPr>
      <w:rFonts w:cs="Times New Roman"/>
      <w:sz w:val="24"/>
      <w:szCs w:val="24"/>
    </w:rPr>
  </w:style>
  <w:style w:type="character" w:styleId="slostrnky">
    <w:name w:val="page number"/>
    <w:basedOn w:val="Standardnpsmoodstavce"/>
    <w:uiPriority w:val="99"/>
    <w:rsid w:val="00A278F4"/>
    <w:rPr>
      <w:rFonts w:cs="Times New Roman"/>
    </w:rPr>
  </w:style>
  <w:style w:type="character" w:customStyle="1" w:styleId="ZhlavChar">
    <w:name w:val="Záhlaví Char"/>
    <w:link w:val="Zhlav"/>
    <w:locked/>
    <w:rsid w:val="00284A3D"/>
    <w:rPr>
      <w:sz w:val="24"/>
    </w:rPr>
  </w:style>
  <w:style w:type="paragraph" w:styleId="Textbubliny">
    <w:name w:val="Balloon Text"/>
    <w:basedOn w:val="Normln"/>
    <w:link w:val="TextbublinyChar"/>
    <w:uiPriority w:val="99"/>
    <w:rsid w:val="004A5F5C"/>
    <w:rPr>
      <w:rFonts w:ascii="Segoe UI" w:hAnsi="Segoe UI"/>
      <w:sz w:val="18"/>
      <w:szCs w:val="18"/>
    </w:rPr>
  </w:style>
  <w:style w:type="character" w:customStyle="1" w:styleId="TextbublinyChar">
    <w:name w:val="Text bubliny Char"/>
    <w:basedOn w:val="Standardnpsmoodstavce"/>
    <w:link w:val="Textbubliny"/>
    <w:uiPriority w:val="99"/>
    <w:locked/>
    <w:rsid w:val="004A5F5C"/>
    <w:rPr>
      <w:rFonts w:ascii="Segoe UI" w:hAnsi="Segoe UI" w:cs="Times New Roman"/>
      <w:sz w:val="18"/>
    </w:rPr>
  </w:style>
  <w:style w:type="paragraph" w:styleId="Odstavecseseznamem">
    <w:name w:val="List Paragraph"/>
    <w:basedOn w:val="Normln"/>
    <w:uiPriority w:val="99"/>
    <w:qFormat/>
    <w:rsid w:val="00AE2CAF"/>
    <w:pPr>
      <w:ind w:left="720"/>
      <w:contextualSpacing/>
    </w:pPr>
  </w:style>
  <w:style w:type="character" w:customStyle="1" w:styleId="CharChar1">
    <w:name w:val="Char Char1"/>
    <w:uiPriority w:val="99"/>
    <w:locked/>
    <w:rsid w:val="00DC2F56"/>
    <w:rPr>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8292">
      <w:bodyDiv w:val="1"/>
      <w:marLeft w:val="0"/>
      <w:marRight w:val="0"/>
      <w:marTop w:val="0"/>
      <w:marBottom w:val="0"/>
      <w:divBdr>
        <w:top w:val="none" w:sz="0" w:space="0" w:color="auto"/>
        <w:left w:val="none" w:sz="0" w:space="0" w:color="auto"/>
        <w:bottom w:val="none" w:sz="0" w:space="0" w:color="auto"/>
        <w:right w:val="none" w:sz="0" w:space="0" w:color="auto"/>
      </w:divBdr>
    </w:div>
    <w:div w:id="54360085">
      <w:bodyDiv w:val="1"/>
      <w:marLeft w:val="0"/>
      <w:marRight w:val="0"/>
      <w:marTop w:val="0"/>
      <w:marBottom w:val="0"/>
      <w:divBdr>
        <w:top w:val="none" w:sz="0" w:space="0" w:color="auto"/>
        <w:left w:val="none" w:sz="0" w:space="0" w:color="auto"/>
        <w:bottom w:val="none" w:sz="0" w:space="0" w:color="auto"/>
        <w:right w:val="none" w:sz="0" w:space="0" w:color="auto"/>
      </w:divBdr>
    </w:div>
    <w:div w:id="102846873">
      <w:bodyDiv w:val="1"/>
      <w:marLeft w:val="0"/>
      <w:marRight w:val="0"/>
      <w:marTop w:val="0"/>
      <w:marBottom w:val="0"/>
      <w:divBdr>
        <w:top w:val="none" w:sz="0" w:space="0" w:color="auto"/>
        <w:left w:val="none" w:sz="0" w:space="0" w:color="auto"/>
        <w:bottom w:val="none" w:sz="0" w:space="0" w:color="auto"/>
        <w:right w:val="none" w:sz="0" w:space="0" w:color="auto"/>
      </w:divBdr>
    </w:div>
    <w:div w:id="170534969">
      <w:bodyDiv w:val="1"/>
      <w:marLeft w:val="0"/>
      <w:marRight w:val="0"/>
      <w:marTop w:val="0"/>
      <w:marBottom w:val="0"/>
      <w:divBdr>
        <w:top w:val="none" w:sz="0" w:space="0" w:color="auto"/>
        <w:left w:val="none" w:sz="0" w:space="0" w:color="auto"/>
        <w:bottom w:val="none" w:sz="0" w:space="0" w:color="auto"/>
        <w:right w:val="none" w:sz="0" w:space="0" w:color="auto"/>
      </w:divBdr>
    </w:div>
    <w:div w:id="307631577">
      <w:bodyDiv w:val="1"/>
      <w:marLeft w:val="0"/>
      <w:marRight w:val="0"/>
      <w:marTop w:val="0"/>
      <w:marBottom w:val="0"/>
      <w:divBdr>
        <w:top w:val="none" w:sz="0" w:space="0" w:color="auto"/>
        <w:left w:val="none" w:sz="0" w:space="0" w:color="auto"/>
        <w:bottom w:val="none" w:sz="0" w:space="0" w:color="auto"/>
        <w:right w:val="none" w:sz="0" w:space="0" w:color="auto"/>
      </w:divBdr>
    </w:div>
    <w:div w:id="323096065">
      <w:bodyDiv w:val="1"/>
      <w:marLeft w:val="0"/>
      <w:marRight w:val="0"/>
      <w:marTop w:val="0"/>
      <w:marBottom w:val="0"/>
      <w:divBdr>
        <w:top w:val="none" w:sz="0" w:space="0" w:color="auto"/>
        <w:left w:val="none" w:sz="0" w:space="0" w:color="auto"/>
        <w:bottom w:val="none" w:sz="0" w:space="0" w:color="auto"/>
        <w:right w:val="none" w:sz="0" w:space="0" w:color="auto"/>
      </w:divBdr>
    </w:div>
    <w:div w:id="328139313">
      <w:bodyDiv w:val="1"/>
      <w:marLeft w:val="0"/>
      <w:marRight w:val="0"/>
      <w:marTop w:val="0"/>
      <w:marBottom w:val="0"/>
      <w:divBdr>
        <w:top w:val="none" w:sz="0" w:space="0" w:color="auto"/>
        <w:left w:val="none" w:sz="0" w:space="0" w:color="auto"/>
        <w:bottom w:val="none" w:sz="0" w:space="0" w:color="auto"/>
        <w:right w:val="none" w:sz="0" w:space="0" w:color="auto"/>
      </w:divBdr>
    </w:div>
    <w:div w:id="389694692">
      <w:bodyDiv w:val="1"/>
      <w:marLeft w:val="0"/>
      <w:marRight w:val="0"/>
      <w:marTop w:val="0"/>
      <w:marBottom w:val="0"/>
      <w:divBdr>
        <w:top w:val="none" w:sz="0" w:space="0" w:color="auto"/>
        <w:left w:val="none" w:sz="0" w:space="0" w:color="auto"/>
        <w:bottom w:val="none" w:sz="0" w:space="0" w:color="auto"/>
        <w:right w:val="none" w:sz="0" w:space="0" w:color="auto"/>
      </w:divBdr>
    </w:div>
    <w:div w:id="428233929">
      <w:bodyDiv w:val="1"/>
      <w:marLeft w:val="0"/>
      <w:marRight w:val="0"/>
      <w:marTop w:val="0"/>
      <w:marBottom w:val="0"/>
      <w:divBdr>
        <w:top w:val="none" w:sz="0" w:space="0" w:color="auto"/>
        <w:left w:val="none" w:sz="0" w:space="0" w:color="auto"/>
        <w:bottom w:val="none" w:sz="0" w:space="0" w:color="auto"/>
        <w:right w:val="none" w:sz="0" w:space="0" w:color="auto"/>
      </w:divBdr>
    </w:div>
    <w:div w:id="448204268">
      <w:bodyDiv w:val="1"/>
      <w:marLeft w:val="0"/>
      <w:marRight w:val="0"/>
      <w:marTop w:val="0"/>
      <w:marBottom w:val="0"/>
      <w:divBdr>
        <w:top w:val="none" w:sz="0" w:space="0" w:color="auto"/>
        <w:left w:val="none" w:sz="0" w:space="0" w:color="auto"/>
        <w:bottom w:val="none" w:sz="0" w:space="0" w:color="auto"/>
        <w:right w:val="none" w:sz="0" w:space="0" w:color="auto"/>
      </w:divBdr>
    </w:div>
    <w:div w:id="471022891">
      <w:bodyDiv w:val="1"/>
      <w:marLeft w:val="0"/>
      <w:marRight w:val="0"/>
      <w:marTop w:val="0"/>
      <w:marBottom w:val="0"/>
      <w:divBdr>
        <w:top w:val="none" w:sz="0" w:space="0" w:color="auto"/>
        <w:left w:val="none" w:sz="0" w:space="0" w:color="auto"/>
        <w:bottom w:val="none" w:sz="0" w:space="0" w:color="auto"/>
        <w:right w:val="none" w:sz="0" w:space="0" w:color="auto"/>
      </w:divBdr>
    </w:div>
    <w:div w:id="589462373">
      <w:bodyDiv w:val="1"/>
      <w:marLeft w:val="0"/>
      <w:marRight w:val="0"/>
      <w:marTop w:val="0"/>
      <w:marBottom w:val="0"/>
      <w:divBdr>
        <w:top w:val="none" w:sz="0" w:space="0" w:color="auto"/>
        <w:left w:val="none" w:sz="0" w:space="0" w:color="auto"/>
        <w:bottom w:val="none" w:sz="0" w:space="0" w:color="auto"/>
        <w:right w:val="none" w:sz="0" w:space="0" w:color="auto"/>
      </w:divBdr>
    </w:div>
    <w:div w:id="719282574">
      <w:bodyDiv w:val="1"/>
      <w:marLeft w:val="0"/>
      <w:marRight w:val="0"/>
      <w:marTop w:val="0"/>
      <w:marBottom w:val="0"/>
      <w:divBdr>
        <w:top w:val="none" w:sz="0" w:space="0" w:color="auto"/>
        <w:left w:val="none" w:sz="0" w:space="0" w:color="auto"/>
        <w:bottom w:val="none" w:sz="0" w:space="0" w:color="auto"/>
        <w:right w:val="none" w:sz="0" w:space="0" w:color="auto"/>
      </w:divBdr>
    </w:div>
    <w:div w:id="753405283">
      <w:bodyDiv w:val="1"/>
      <w:marLeft w:val="0"/>
      <w:marRight w:val="0"/>
      <w:marTop w:val="0"/>
      <w:marBottom w:val="0"/>
      <w:divBdr>
        <w:top w:val="none" w:sz="0" w:space="0" w:color="auto"/>
        <w:left w:val="none" w:sz="0" w:space="0" w:color="auto"/>
        <w:bottom w:val="none" w:sz="0" w:space="0" w:color="auto"/>
        <w:right w:val="none" w:sz="0" w:space="0" w:color="auto"/>
      </w:divBdr>
    </w:div>
    <w:div w:id="788013760">
      <w:bodyDiv w:val="1"/>
      <w:marLeft w:val="0"/>
      <w:marRight w:val="0"/>
      <w:marTop w:val="0"/>
      <w:marBottom w:val="0"/>
      <w:divBdr>
        <w:top w:val="none" w:sz="0" w:space="0" w:color="auto"/>
        <w:left w:val="none" w:sz="0" w:space="0" w:color="auto"/>
        <w:bottom w:val="none" w:sz="0" w:space="0" w:color="auto"/>
        <w:right w:val="none" w:sz="0" w:space="0" w:color="auto"/>
      </w:divBdr>
    </w:div>
    <w:div w:id="1040783109">
      <w:bodyDiv w:val="1"/>
      <w:marLeft w:val="0"/>
      <w:marRight w:val="0"/>
      <w:marTop w:val="0"/>
      <w:marBottom w:val="0"/>
      <w:divBdr>
        <w:top w:val="none" w:sz="0" w:space="0" w:color="auto"/>
        <w:left w:val="none" w:sz="0" w:space="0" w:color="auto"/>
        <w:bottom w:val="none" w:sz="0" w:space="0" w:color="auto"/>
        <w:right w:val="none" w:sz="0" w:space="0" w:color="auto"/>
      </w:divBdr>
    </w:div>
    <w:div w:id="1070269808">
      <w:bodyDiv w:val="1"/>
      <w:marLeft w:val="0"/>
      <w:marRight w:val="0"/>
      <w:marTop w:val="0"/>
      <w:marBottom w:val="0"/>
      <w:divBdr>
        <w:top w:val="none" w:sz="0" w:space="0" w:color="auto"/>
        <w:left w:val="none" w:sz="0" w:space="0" w:color="auto"/>
        <w:bottom w:val="none" w:sz="0" w:space="0" w:color="auto"/>
        <w:right w:val="none" w:sz="0" w:space="0" w:color="auto"/>
      </w:divBdr>
    </w:div>
    <w:div w:id="1135639018">
      <w:bodyDiv w:val="1"/>
      <w:marLeft w:val="0"/>
      <w:marRight w:val="0"/>
      <w:marTop w:val="0"/>
      <w:marBottom w:val="0"/>
      <w:divBdr>
        <w:top w:val="none" w:sz="0" w:space="0" w:color="auto"/>
        <w:left w:val="none" w:sz="0" w:space="0" w:color="auto"/>
        <w:bottom w:val="none" w:sz="0" w:space="0" w:color="auto"/>
        <w:right w:val="none" w:sz="0" w:space="0" w:color="auto"/>
      </w:divBdr>
    </w:div>
    <w:div w:id="1272054613">
      <w:bodyDiv w:val="1"/>
      <w:marLeft w:val="0"/>
      <w:marRight w:val="0"/>
      <w:marTop w:val="0"/>
      <w:marBottom w:val="0"/>
      <w:divBdr>
        <w:top w:val="none" w:sz="0" w:space="0" w:color="auto"/>
        <w:left w:val="none" w:sz="0" w:space="0" w:color="auto"/>
        <w:bottom w:val="none" w:sz="0" w:space="0" w:color="auto"/>
        <w:right w:val="none" w:sz="0" w:space="0" w:color="auto"/>
      </w:divBdr>
    </w:div>
    <w:div w:id="1431700752">
      <w:bodyDiv w:val="1"/>
      <w:marLeft w:val="0"/>
      <w:marRight w:val="0"/>
      <w:marTop w:val="0"/>
      <w:marBottom w:val="0"/>
      <w:divBdr>
        <w:top w:val="none" w:sz="0" w:space="0" w:color="auto"/>
        <w:left w:val="none" w:sz="0" w:space="0" w:color="auto"/>
        <w:bottom w:val="none" w:sz="0" w:space="0" w:color="auto"/>
        <w:right w:val="none" w:sz="0" w:space="0" w:color="auto"/>
      </w:divBdr>
    </w:div>
    <w:div w:id="1471047599">
      <w:bodyDiv w:val="1"/>
      <w:marLeft w:val="0"/>
      <w:marRight w:val="0"/>
      <w:marTop w:val="0"/>
      <w:marBottom w:val="0"/>
      <w:divBdr>
        <w:top w:val="none" w:sz="0" w:space="0" w:color="auto"/>
        <w:left w:val="none" w:sz="0" w:space="0" w:color="auto"/>
        <w:bottom w:val="none" w:sz="0" w:space="0" w:color="auto"/>
        <w:right w:val="none" w:sz="0" w:space="0" w:color="auto"/>
      </w:divBdr>
    </w:div>
    <w:div w:id="1525360392">
      <w:bodyDiv w:val="1"/>
      <w:marLeft w:val="0"/>
      <w:marRight w:val="0"/>
      <w:marTop w:val="0"/>
      <w:marBottom w:val="0"/>
      <w:divBdr>
        <w:top w:val="none" w:sz="0" w:space="0" w:color="auto"/>
        <w:left w:val="none" w:sz="0" w:space="0" w:color="auto"/>
        <w:bottom w:val="none" w:sz="0" w:space="0" w:color="auto"/>
        <w:right w:val="none" w:sz="0" w:space="0" w:color="auto"/>
      </w:divBdr>
    </w:div>
    <w:div w:id="1585648291">
      <w:bodyDiv w:val="1"/>
      <w:marLeft w:val="0"/>
      <w:marRight w:val="0"/>
      <w:marTop w:val="0"/>
      <w:marBottom w:val="0"/>
      <w:divBdr>
        <w:top w:val="none" w:sz="0" w:space="0" w:color="auto"/>
        <w:left w:val="none" w:sz="0" w:space="0" w:color="auto"/>
        <w:bottom w:val="none" w:sz="0" w:space="0" w:color="auto"/>
        <w:right w:val="none" w:sz="0" w:space="0" w:color="auto"/>
      </w:divBdr>
    </w:div>
    <w:div w:id="1592423893">
      <w:bodyDiv w:val="1"/>
      <w:marLeft w:val="0"/>
      <w:marRight w:val="0"/>
      <w:marTop w:val="0"/>
      <w:marBottom w:val="0"/>
      <w:divBdr>
        <w:top w:val="none" w:sz="0" w:space="0" w:color="auto"/>
        <w:left w:val="none" w:sz="0" w:space="0" w:color="auto"/>
        <w:bottom w:val="none" w:sz="0" w:space="0" w:color="auto"/>
        <w:right w:val="none" w:sz="0" w:space="0" w:color="auto"/>
      </w:divBdr>
    </w:div>
    <w:div w:id="1601914279">
      <w:bodyDiv w:val="1"/>
      <w:marLeft w:val="0"/>
      <w:marRight w:val="0"/>
      <w:marTop w:val="0"/>
      <w:marBottom w:val="0"/>
      <w:divBdr>
        <w:top w:val="none" w:sz="0" w:space="0" w:color="auto"/>
        <w:left w:val="none" w:sz="0" w:space="0" w:color="auto"/>
        <w:bottom w:val="none" w:sz="0" w:space="0" w:color="auto"/>
        <w:right w:val="none" w:sz="0" w:space="0" w:color="auto"/>
      </w:divBdr>
    </w:div>
    <w:div w:id="1638755911">
      <w:bodyDiv w:val="1"/>
      <w:marLeft w:val="0"/>
      <w:marRight w:val="0"/>
      <w:marTop w:val="0"/>
      <w:marBottom w:val="0"/>
      <w:divBdr>
        <w:top w:val="none" w:sz="0" w:space="0" w:color="auto"/>
        <w:left w:val="none" w:sz="0" w:space="0" w:color="auto"/>
        <w:bottom w:val="none" w:sz="0" w:space="0" w:color="auto"/>
        <w:right w:val="none" w:sz="0" w:space="0" w:color="auto"/>
      </w:divBdr>
    </w:div>
    <w:div w:id="1666399215">
      <w:bodyDiv w:val="1"/>
      <w:marLeft w:val="0"/>
      <w:marRight w:val="0"/>
      <w:marTop w:val="0"/>
      <w:marBottom w:val="0"/>
      <w:divBdr>
        <w:top w:val="none" w:sz="0" w:space="0" w:color="auto"/>
        <w:left w:val="none" w:sz="0" w:space="0" w:color="auto"/>
        <w:bottom w:val="none" w:sz="0" w:space="0" w:color="auto"/>
        <w:right w:val="none" w:sz="0" w:space="0" w:color="auto"/>
      </w:divBdr>
    </w:div>
    <w:div w:id="1684673329">
      <w:bodyDiv w:val="1"/>
      <w:marLeft w:val="0"/>
      <w:marRight w:val="0"/>
      <w:marTop w:val="0"/>
      <w:marBottom w:val="0"/>
      <w:divBdr>
        <w:top w:val="none" w:sz="0" w:space="0" w:color="auto"/>
        <w:left w:val="none" w:sz="0" w:space="0" w:color="auto"/>
        <w:bottom w:val="none" w:sz="0" w:space="0" w:color="auto"/>
        <w:right w:val="none" w:sz="0" w:space="0" w:color="auto"/>
      </w:divBdr>
    </w:div>
    <w:div w:id="1718236506">
      <w:bodyDiv w:val="1"/>
      <w:marLeft w:val="0"/>
      <w:marRight w:val="0"/>
      <w:marTop w:val="0"/>
      <w:marBottom w:val="0"/>
      <w:divBdr>
        <w:top w:val="none" w:sz="0" w:space="0" w:color="auto"/>
        <w:left w:val="none" w:sz="0" w:space="0" w:color="auto"/>
        <w:bottom w:val="none" w:sz="0" w:space="0" w:color="auto"/>
        <w:right w:val="none" w:sz="0" w:space="0" w:color="auto"/>
      </w:divBdr>
    </w:div>
    <w:div w:id="1723282926">
      <w:bodyDiv w:val="1"/>
      <w:marLeft w:val="0"/>
      <w:marRight w:val="0"/>
      <w:marTop w:val="0"/>
      <w:marBottom w:val="0"/>
      <w:divBdr>
        <w:top w:val="none" w:sz="0" w:space="0" w:color="auto"/>
        <w:left w:val="none" w:sz="0" w:space="0" w:color="auto"/>
        <w:bottom w:val="none" w:sz="0" w:space="0" w:color="auto"/>
        <w:right w:val="none" w:sz="0" w:space="0" w:color="auto"/>
      </w:divBdr>
    </w:div>
    <w:div w:id="1746605285">
      <w:bodyDiv w:val="1"/>
      <w:marLeft w:val="0"/>
      <w:marRight w:val="0"/>
      <w:marTop w:val="0"/>
      <w:marBottom w:val="0"/>
      <w:divBdr>
        <w:top w:val="none" w:sz="0" w:space="0" w:color="auto"/>
        <w:left w:val="none" w:sz="0" w:space="0" w:color="auto"/>
        <w:bottom w:val="none" w:sz="0" w:space="0" w:color="auto"/>
        <w:right w:val="none" w:sz="0" w:space="0" w:color="auto"/>
      </w:divBdr>
    </w:div>
    <w:div w:id="1760640979">
      <w:bodyDiv w:val="1"/>
      <w:marLeft w:val="0"/>
      <w:marRight w:val="0"/>
      <w:marTop w:val="0"/>
      <w:marBottom w:val="0"/>
      <w:divBdr>
        <w:top w:val="none" w:sz="0" w:space="0" w:color="auto"/>
        <w:left w:val="none" w:sz="0" w:space="0" w:color="auto"/>
        <w:bottom w:val="none" w:sz="0" w:space="0" w:color="auto"/>
        <w:right w:val="none" w:sz="0" w:space="0" w:color="auto"/>
      </w:divBdr>
    </w:div>
    <w:div w:id="1784417255">
      <w:bodyDiv w:val="1"/>
      <w:marLeft w:val="0"/>
      <w:marRight w:val="0"/>
      <w:marTop w:val="0"/>
      <w:marBottom w:val="0"/>
      <w:divBdr>
        <w:top w:val="none" w:sz="0" w:space="0" w:color="auto"/>
        <w:left w:val="none" w:sz="0" w:space="0" w:color="auto"/>
        <w:bottom w:val="none" w:sz="0" w:space="0" w:color="auto"/>
        <w:right w:val="none" w:sz="0" w:space="0" w:color="auto"/>
      </w:divBdr>
    </w:div>
    <w:div w:id="1797673664">
      <w:bodyDiv w:val="1"/>
      <w:marLeft w:val="0"/>
      <w:marRight w:val="0"/>
      <w:marTop w:val="0"/>
      <w:marBottom w:val="0"/>
      <w:divBdr>
        <w:top w:val="none" w:sz="0" w:space="0" w:color="auto"/>
        <w:left w:val="none" w:sz="0" w:space="0" w:color="auto"/>
        <w:bottom w:val="none" w:sz="0" w:space="0" w:color="auto"/>
        <w:right w:val="none" w:sz="0" w:space="0" w:color="auto"/>
      </w:divBdr>
    </w:div>
    <w:div w:id="2000648129">
      <w:bodyDiv w:val="1"/>
      <w:marLeft w:val="0"/>
      <w:marRight w:val="0"/>
      <w:marTop w:val="0"/>
      <w:marBottom w:val="0"/>
      <w:divBdr>
        <w:top w:val="none" w:sz="0" w:space="0" w:color="auto"/>
        <w:left w:val="none" w:sz="0" w:space="0" w:color="auto"/>
        <w:bottom w:val="none" w:sz="0" w:space="0" w:color="auto"/>
        <w:right w:val="none" w:sz="0" w:space="0" w:color="auto"/>
      </w:divBdr>
    </w:div>
    <w:div w:id="2112965322">
      <w:bodyDiv w:val="1"/>
      <w:marLeft w:val="0"/>
      <w:marRight w:val="0"/>
      <w:marTop w:val="0"/>
      <w:marBottom w:val="0"/>
      <w:divBdr>
        <w:top w:val="none" w:sz="0" w:space="0" w:color="auto"/>
        <w:left w:val="none" w:sz="0" w:space="0" w:color="auto"/>
        <w:bottom w:val="none" w:sz="0" w:space="0" w:color="auto"/>
        <w:right w:val="none" w:sz="0" w:space="0" w:color="auto"/>
      </w:divBdr>
    </w:div>
    <w:div w:id="2119980706">
      <w:marLeft w:val="0"/>
      <w:marRight w:val="0"/>
      <w:marTop w:val="0"/>
      <w:marBottom w:val="0"/>
      <w:divBdr>
        <w:top w:val="none" w:sz="0" w:space="0" w:color="auto"/>
        <w:left w:val="none" w:sz="0" w:space="0" w:color="auto"/>
        <w:bottom w:val="none" w:sz="0" w:space="0" w:color="auto"/>
        <w:right w:val="none" w:sz="0" w:space="0" w:color="auto"/>
      </w:divBdr>
    </w:div>
    <w:div w:id="2119980707">
      <w:marLeft w:val="0"/>
      <w:marRight w:val="0"/>
      <w:marTop w:val="0"/>
      <w:marBottom w:val="0"/>
      <w:divBdr>
        <w:top w:val="none" w:sz="0" w:space="0" w:color="auto"/>
        <w:left w:val="none" w:sz="0" w:space="0" w:color="auto"/>
        <w:bottom w:val="none" w:sz="0" w:space="0" w:color="auto"/>
        <w:right w:val="none" w:sz="0" w:space="0" w:color="auto"/>
      </w:divBdr>
    </w:div>
    <w:div w:id="2119980708">
      <w:marLeft w:val="0"/>
      <w:marRight w:val="0"/>
      <w:marTop w:val="0"/>
      <w:marBottom w:val="0"/>
      <w:divBdr>
        <w:top w:val="none" w:sz="0" w:space="0" w:color="auto"/>
        <w:left w:val="none" w:sz="0" w:space="0" w:color="auto"/>
        <w:bottom w:val="none" w:sz="0" w:space="0" w:color="auto"/>
        <w:right w:val="none" w:sz="0" w:space="0" w:color="auto"/>
      </w:divBdr>
    </w:div>
    <w:div w:id="2119980709">
      <w:marLeft w:val="0"/>
      <w:marRight w:val="0"/>
      <w:marTop w:val="0"/>
      <w:marBottom w:val="0"/>
      <w:divBdr>
        <w:top w:val="none" w:sz="0" w:space="0" w:color="auto"/>
        <w:left w:val="none" w:sz="0" w:space="0" w:color="auto"/>
        <w:bottom w:val="none" w:sz="0" w:space="0" w:color="auto"/>
        <w:right w:val="none" w:sz="0" w:space="0" w:color="auto"/>
      </w:divBdr>
    </w:div>
    <w:div w:id="2119980710">
      <w:marLeft w:val="0"/>
      <w:marRight w:val="0"/>
      <w:marTop w:val="0"/>
      <w:marBottom w:val="0"/>
      <w:divBdr>
        <w:top w:val="none" w:sz="0" w:space="0" w:color="auto"/>
        <w:left w:val="none" w:sz="0" w:space="0" w:color="auto"/>
        <w:bottom w:val="none" w:sz="0" w:space="0" w:color="auto"/>
        <w:right w:val="none" w:sz="0" w:space="0" w:color="auto"/>
      </w:divBdr>
    </w:div>
    <w:div w:id="2119980711">
      <w:marLeft w:val="0"/>
      <w:marRight w:val="0"/>
      <w:marTop w:val="0"/>
      <w:marBottom w:val="0"/>
      <w:divBdr>
        <w:top w:val="none" w:sz="0" w:space="0" w:color="auto"/>
        <w:left w:val="none" w:sz="0" w:space="0" w:color="auto"/>
        <w:bottom w:val="none" w:sz="0" w:space="0" w:color="auto"/>
        <w:right w:val="none" w:sz="0" w:space="0" w:color="auto"/>
      </w:divBdr>
    </w:div>
    <w:div w:id="2119980712">
      <w:marLeft w:val="0"/>
      <w:marRight w:val="0"/>
      <w:marTop w:val="0"/>
      <w:marBottom w:val="0"/>
      <w:divBdr>
        <w:top w:val="none" w:sz="0" w:space="0" w:color="auto"/>
        <w:left w:val="none" w:sz="0" w:space="0" w:color="auto"/>
        <w:bottom w:val="none" w:sz="0" w:space="0" w:color="auto"/>
        <w:right w:val="none" w:sz="0" w:space="0" w:color="auto"/>
      </w:divBdr>
    </w:div>
    <w:div w:id="2119980713">
      <w:marLeft w:val="0"/>
      <w:marRight w:val="0"/>
      <w:marTop w:val="0"/>
      <w:marBottom w:val="0"/>
      <w:divBdr>
        <w:top w:val="none" w:sz="0" w:space="0" w:color="auto"/>
        <w:left w:val="none" w:sz="0" w:space="0" w:color="auto"/>
        <w:bottom w:val="none" w:sz="0" w:space="0" w:color="auto"/>
        <w:right w:val="none" w:sz="0" w:space="0" w:color="auto"/>
      </w:divBdr>
    </w:div>
    <w:div w:id="2119980714">
      <w:marLeft w:val="0"/>
      <w:marRight w:val="0"/>
      <w:marTop w:val="0"/>
      <w:marBottom w:val="0"/>
      <w:divBdr>
        <w:top w:val="none" w:sz="0" w:space="0" w:color="auto"/>
        <w:left w:val="none" w:sz="0" w:space="0" w:color="auto"/>
        <w:bottom w:val="none" w:sz="0" w:space="0" w:color="auto"/>
        <w:right w:val="none" w:sz="0" w:space="0" w:color="auto"/>
      </w:divBdr>
    </w:div>
    <w:div w:id="2119980715">
      <w:marLeft w:val="0"/>
      <w:marRight w:val="0"/>
      <w:marTop w:val="0"/>
      <w:marBottom w:val="0"/>
      <w:divBdr>
        <w:top w:val="none" w:sz="0" w:space="0" w:color="auto"/>
        <w:left w:val="none" w:sz="0" w:space="0" w:color="auto"/>
        <w:bottom w:val="none" w:sz="0" w:space="0" w:color="auto"/>
        <w:right w:val="none" w:sz="0" w:space="0" w:color="auto"/>
      </w:divBdr>
    </w:div>
    <w:div w:id="2119980716">
      <w:marLeft w:val="0"/>
      <w:marRight w:val="0"/>
      <w:marTop w:val="0"/>
      <w:marBottom w:val="0"/>
      <w:divBdr>
        <w:top w:val="none" w:sz="0" w:space="0" w:color="auto"/>
        <w:left w:val="none" w:sz="0" w:space="0" w:color="auto"/>
        <w:bottom w:val="none" w:sz="0" w:space="0" w:color="auto"/>
        <w:right w:val="none" w:sz="0" w:space="0" w:color="auto"/>
      </w:divBdr>
    </w:div>
    <w:div w:id="2119980717">
      <w:marLeft w:val="0"/>
      <w:marRight w:val="0"/>
      <w:marTop w:val="0"/>
      <w:marBottom w:val="0"/>
      <w:divBdr>
        <w:top w:val="none" w:sz="0" w:space="0" w:color="auto"/>
        <w:left w:val="none" w:sz="0" w:space="0" w:color="auto"/>
        <w:bottom w:val="none" w:sz="0" w:space="0" w:color="auto"/>
        <w:right w:val="none" w:sz="0" w:space="0" w:color="auto"/>
      </w:divBdr>
    </w:div>
    <w:div w:id="2119980718">
      <w:marLeft w:val="0"/>
      <w:marRight w:val="0"/>
      <w:marTop w:val="0"/>
      <w:marBottom w:val="0"/>
      <w:divBdr>
        <w:top w:val="none" w:sz="0" w:space="0" w:color="auto"/>
        <w:left w:val="none" w:sz="0" w:space="0" w:color="auto"/>
        <w:bottom w:val="none" w:sz="0" w:space="0" w:color="auto"/>
        <w:right w:val="none" w:sz="0" w:space="0" w:color="auto"/>
      </w:divBdr>
    </w:div>
    <w:div w:id="2119980719">
      <w:marLeft w:val="0"/>
      <w:marRight w:val="0"/>
      <w:marTop w:val="0"/>
      <w:marBottom w:val="0"/>
      <w:divBdr>
        <w:top w:val="none" w:sz="0" w:space="0" w:color="auto"/>
        <w:left w:val="none" w:sz="0" w:space="0" w:color="auto"/>
        <w:bottom w:val="none" w:sz="0" w:space="0" w:color="auto"/>
        <w:right w:val="none" w:sz="0" w:space="0" w:color="auto"/>
      </w:divBdr>
    </w:div>
    <w:div w:id="2119980720">
      <w:marLeft w:val="0"/>
      <w:marRight w:val="0"/>
      <w:marTop w:val="0"/>
      <w:marBottom w:val="0"/>
      <w:divBdr>
        <w:top w:val="none" w:sz="0" w:space="0" w:color="auto"/>
        <w:left w:val="none" w:sz="0" w:space="0" w:color="auto"/>
        <w:bottom w:val="none" w:sz="0" w:space="0" w:color="auto"/>
        <w:right w:val="none" w:sz="0" w:space="0" w:color="auto"/>
      </w:divBdr>
    </w:div>
    <w:div w:id="2119980721">
      <w:marLeft w:val="0"/>
      <w:marRight w:val="0"/>
      <w:marTop w:val="0"/>
      <w:marBottom w:val="0"/>
      <w:divBdr>
        <w:top w:val="none" w:sz="0" w:space="0" w:color="auto"/>
        <w:left w:val="none" w:sz="0" w:space="0" w:color="auto"/>
        <w:bottom w:val="none" w:sz="0" w:space="0" w:color="auto"/>
        <w:right w:val="none" w:sz="0" w:space="0" w:color="auto"/>
      </w:divBdr>
    </w:div>
    <w:div w:id="2119980722">
      <w:marLeft w:val="0"/>
      <w:marRight w:val="0"/>
      <w:marTop w:val="0"/>
      <w:marBottom w:val="0"/>
      <w:divBdr>
        <w:top w:val="none" w:sz="0" w:space="0" w:color="auto"/>
        <w:left w:val="none" w:sz="0" w:space="0" w:color="auto"/>
        <w:bottom w:val="none" w:sz="0" w:space="0" w:color="auto"/>
        <w:right w:val="none" w:sz="0" w:space="0" w:color="auto"/>
      </w:divBdr>
    </w:div>
    <w:div w:id="2119980723">
      <w:marLeft w:val="0"/>
      <w:marRight w:val="0"/>
      <w:marTop w:val="0"/>
      <w:marBottom w:val="0"/>
      <w:divBdr>
        <w:top w:val="none" w:sz="0" w:space="0" w:color="auto"/>
        <w:left w:val="none" w:sz="0" w:space="0" w:color="auto"/>
        <w:bottom w:val="none" w:sz="0" w:space="0" w:color="auto"/>
        <w:right w:val="none" w:sz="0" w:space="0" w:color="auto"/>
      </w:divBdr>
    </w:div>
    <w:div w:id="2119980724">
      <w:marLeft w:val="0"/>
      <w:marRight w:val="0"/>
      <w:marTop w:val="0"/>
      <w:marBottom w:val="0"/>
      <w:divBdr>
        <w:top w:val="none" w:sz="0" w:space="0" w:color="auto"/>
        <w:left w:val="none" w:sz="0" w:space="0" w:color="auto"/>
        <w:bottom w:val="none" w:sz="0" w:space="0" w:color="auto"/>
        <w:right w:val="none" w:sz="0" w:space="0" w:color="auto"/>
      </w:divBdr>
    </w:div>
    <w:div w:id="2119980725">
      <w:marLeft w:val="0"/>
      <w:marRight w:val="0"/>
      <w:marTop w:val="0"/>
      <w:marBottom w:val="0"/>
      <w:divBdr>
        <w:top w:val="none" w:sz="0" w:space="0" w:color="auto"/>
        <w:left w:val="none" w:sz="0" w:space="0" w:color="auto"/>
        <w:bottom w:val="none" w:sz="0" w:space="0" w:color="auto"/>
        <w:right w:val="none" w:sz="0" w:space="0" w:color="auto"/>
      </w:divBdr>
    </w:div>
    <w:div w:id="2119980726">
      <w:marLeft w:val="0"/>
      <w:marRight w:val="0"/>
      <w:marTop w:val="0"/>
      <w:marBottom w:val="0"/>
      <w:divBdr>
        <w:top w:val="none" w:sz="0" w:space="0" w:color="auto"/>
        <w:left w:val="none" w:sz="0" w:space="0" w:color="auto"/>
        <w:bottom w:val="none" w:sz="0" w:space="0" w:color="auto"/>
        <w:right w:val="none" w:sz="0" w:space="0" w:color="auto"/>
      </w:divBdr>
    </w:div>
    <w:div w:id="2119980727">
      <w:marLeft w:val="0"/>
      <w:marRight w:val="0"/>
      <w:marTop w:val="0"/>
      <w:marBottom w:val="0"/>
      <w:divBdr>
        <w:top w:val="none" w:sz="0" w:space="0" w:color="auto"/>
        <w:left w:val="none" w:sz="0" w:space="0" w:color="auto"/>
        <w:bottom w:val="none" w:sz="0" w:space="0" w:color="auto"/>
        <w:right w:val="none" w:sz="0" w:space="0" w:color="auto"/>
      </w:divBdr>
    </w:div>
    <w:div w:id="2119980728">
      <w:marLeft w:val="0"/>
      <w:marRight w:val="0"/>
      <w:marTop w:val="0"/>
      <w:marBottom w:val="0"/>
      <w:divBdr>
        <w:top w:val="none" w:sz="0" w:space="0" w:color="auto"/>
        <w:left w:val="none" w:sz="0" w:space="0" w:color="auto"/>
        <w:bottom w:val="none" w:sz="0" w:space="0" w:color="auto"/>
        <w:right w:val="none" w:sz="0" w:space="0" w:color="auto"/>
      </w:divBdr>
    </w:div>
    <w:div w:id="2119980729">
      <w:marLeft w:val="0"/>
      <w:marRight w:val="0"/>
      <w:marTop w:val="0"/>
      <w:marBottom w:val="0"/>
      <w:divBdr>
        <w:top w:val="none" w:sz="0" w:space="0" w:color="auto"/>
        <w:left w:val="none" w:sz="0" w:space="0" w:color="auto"/>
        <w:bottom w:val="none" w:sz="0" w:space="0" w:color="auto"/>
        <w:right w:val="none" w:sz="0" w:space="0" w:color="auto"/>
      </w:divBdr>
    </w:div>
    <w:div w:id="2119980730">
      <w:marLeft w:val="0"/>
      <w:marRight w:val="0"/>
      <w:marTop w:val="0"/>
      <w:marBottom w:val="0"/>
      <w:divBdr>
        <w:top w:val="none" w:sz="0" w:space="0" w:color="auto"/>
        <w:left w:val="none" w:sz="0" w:space="0" w:color="auto"/>
        <w:bottom w:val="none" w:sz="0" w:space="0" w:color="auto"/>
        <w:right w:val="none" w:sz="0" w:space="0" w:color="auto"/>
      </w:divBdr>
    </w:div>
    <w:div w:id="2119980731">
      <w:marLeft w:val="0"/>
      <w:marRight w:val="0"/>
      <w:marTop w:val="0"/>
      <w:marBottom w:val="0"/>
      <w:divBdr>
        <w:top w:val="none" w:sz="0" w:space="0" w:color="auto"/>
        <w:left w:val="none" w:sz="0" w:space="0" w:color="auto"/>
        <w:bottom w:val="none" w:sz="0" w:space="0" w:color="auto"/>
        <w:right w:val="none" w:sz="0" w:space="0" w:color="auto"/>
      </w:divBdr>
    </w:div>
    <w:div w:id="2119980732">
      <w:marLeft w:val="0"/>
      <w:marRight w:val="0"/>
      <w:marTop w:val="0"/>
      <w:marBottom w:val="0"/>
      <w:divBdr>
        <w:top w:val="none" w:sz="0" w:space="0" w:color="auto"/>
        <w:left w:val="none" w:sz="0" w:space="0" w:color="auto"/>
        <w:bottom w:val="none" w:sz="0" w:space="0" w:color="auto"/>
        <w:right w:val="none" w:sz="0" w:space="0" w:color="auto"/>
      </w:divBdr>
    </w:div>
    <w:div w:id="2119980733">
      <w:marLeft w:val="0"/>
      <w:marRight w:val="0"/>
      <w:marTop w:val="0"/>
      <w:marBottom w:val="0"/>
      <w:divBdr>
        <w:top w:val="none" w:sz="0" w:space="0" w:color="auto"/>
        <w:left w:val="none" w:sz="0" w:space="0" w:color="auto"/>
        <w:bottom w:val="none" w:sz="0" w:space="0" w:color="auto"/>
        <w:right w:val="none" w:sz="0" w:space="0" w:color="auto"/>
      </w:divBdr>
    </w:div>
    <w:div w:id="2119980734">
      <w:marLeft w:val="0"/>
      <w:marRight w:val="0"/>
      <w:marTop w:val="0"/>
      <w:marBottom w:val="0"/>
      <w:divBdr>
        <w:top w:val="none" w:sz="0" w:space="0" w:color="auto"/>
        <w:left w:val="none" w:sz="0" w:space="0" w:color="auto"/>
        <w:bottom w:val="none" w:sz="0" w:space="0" w:color="auto"/>
        <w:right w:val="none" w:sz="0" w:space="0" w:color="auto"/>
      </w:divBdr>
    </w:div>
    <w:div w:id="2119980735">
      <w:marLeft w:val="0"/>
      <w:marRight w:val="0"/>
      <w:marTop w:val="0"/>
      <w:marBottom w:val="0"/>
      <w:divBdr>
        <w:top w:val="none" w:sz="0" w:space="0" w:color="auto"/>
        <w:left w:val="none" w:sz="0" w:space="0" w:color="auto"/>
        <w:bottom w:val="none" w:sz="0" w:space="0" w:color="auto"/>
        <w:right w:val="none" w:sz="0" w:space="0" w:color="auto"/>
      </w:divBdr>
    </w:div>
    <w:div w:id="2119980736">
      <w:marLeft w:val="0"/>
      <w:marRight w:val="0"/>
      <w:marTop w:val="0"/>
      <w:marBottom w:val="0"/>
      <w:divBdr>
        <w:top w:val="none" w:sz="0" w:space="0" w:color="auto"/>
        <w:left w:val="none" w:sz="0" w:space="0" w:color="auto"/>
        <w:bottom w:val="none" w:sz="0" w:space="0" w:color="auto"/>
        <w:right w:val="none" w:sz="0" w:space="0" w:color="auto"/>
      </w:divBdr>
    </w:div>
    <w:div w:id="2119980737">
      <w:marLeft w:val="0"/>
      <w:marRight w:val="0"/>
      <w:marTop w:val="0"/>
      <w:marBottom w:val="0"/>
      <w:divBdr>
        <w:top w:val="none" w:sz="0" w:space="0" w:color="auto"/>
        <w:left w:val="none" w:sz="0" w:space="0" w:color="auto"/>
        <w:bottom w:val="none" w:sz="0" w:space="0" w:color="auto"/>
        <w:right w:val="none" w:sz="0" w:space="0" w:color="auto"/>
      </w:divBdr>
    </w:div>
    <w:div w:id="2119980738">
      <w:marLeft w:val="0"/>
      <w:marRight w:val="0"/>
      <w:marTop w:val="0"/>
      <w:marBottom w:val="0"/>
      <w:divBdr>
        <w:top w:val="none" w:sz="0" w:space="0" w:color="auto"/>
        <w:left w:val="none" w:sz="0" w:space="0" w:color="auto"/>
        <w:bottom w:val="none" w:sz="0" w:space="0" w:color="auto"/>
        <w:right w:val="none" w:sz="0" w:space="0" w:color="auto"/>
      </w:divBdr>
    </w:div>
    <w:div w:id="2119980739">
      <w:marLeft w:val="0"/>
      <w:marRight w:val="0"/>
      <w:marTop w:val="0"/>
      <w:marBottom w:val="0"/>
      <w:divBdr>
        <w:top w:val="none" w:sz="0" w:space="0" w:color="auto"/>
        <w:left w:val="none" w:sz="0" w:space="0" w:color="auto"/>
        <w:bottom w:val="none" w:sz="0" w:space="0" w:color="auto"/>
        <w:right w:val="none" w:sz="0" w:space="0" w:color="auto"/>
      </w:divBdr>
    </w:div>
    <w:div w:id="2119980740">
      <w:marLeft w:val="0"/>
      <w:marRight w:val="0"/>
      <w:marTop w:val="0"/>
      <w:marBottom w:val="0"/>
      <w:divBdr>
        <w:top w:val="none" w:sz="0" w:space="0" w:color="auto"/>
        <w:left w:val="none" w:sz="0" w:space="0" w:color="auto"/>
        <w:bottom w:val="none" w:sz="0" w:space="0" w:color="auto"/>
        <w:right w:val="none" w:sz="0" w:space="0" w:color="auto"/>
      </w:divBdr>
    </w:div>
    <w:div w:id="2119980741">
      <w:marLeft w:val="0"/>
      <w:marRight w:val="0"/>
      <w:marTop w:val="0"/>
      <w:marBottom w:val="0"/>
      <w:divBdr>
        <w:top w:val="none" w:sz="0" w:space="0" w:color="auto"/>
        <w:left w:val="none" w:sz="0" w:space="0" w:color="auto"/>
        <w:bottom w:val="none" w:sz="0" w:space="0" w:color="auto"/>
        <w:right w:val="none" w:sz="0" w:space="0" w:color="auto"/>
      </w:divBdr>
    </w:div>
    <w:div w:id="2119980742">
      <w:marLeft w:val="0"/>
      <w:marRight w:val="0"/>
      <w:marTop w:val="0"/>
      <w:marBottom w:val="0"/>
      <w:divBdr>
        <w:top w:val="none" w:sz="0" w:space="0" w:color="auto"/>
        <w:left w:val="none" w:sz="0" w:space="0" w:color="auto"/>
        <w:bottom w:val="none" w:sz="0" w:space="0" w:color="auto"/>
        <w:right w:val="none" w:sz="0" w:space="0" w:color="auto"/>
      </w:divBdr>
    </w:div>
    <w:div w:id="2119980743">
      <w:marLeft w:val="0"/>
      <w:marRight w:val="0"/>
      <w:marTop w:val="0"/>
      <w:marBottom w:val="0"/>
      <w:divBdr>
        <w:top w:val="none" w:sz="0" w:space="0" w:color="auto"/>
        <w:left w:val="none" w:sz="0" w:space="0" w:color="auto"/>
        <w:bottom w:val="none" w:sz="0" w:space="0" w:color="auto"/>
        <w:right w:val="none" w:sz="0" w:space="0" w:color="auto"/>
      </w:divBdr>
    </w:div>
    <w:div w:id="2119980744">
      <w:marLeft w:val="0"/>
      <w:marRight w:val="0"/>
      <w:marTop w:val="0"/>
      <w:marBottom w:val="0"/>
      <w:divBdr>
        <w:top w:val="none" w:sz="0" w:space="0" w:color="auto"/>
        <w:left w:val="none" w:sz="0" w:space="0" w:color="auto"/>
        <w:bottom w:val="none" w:sz="0" w:space="0" w:color="auto"/>
        <w:right w:val="none" w:sz="0" w:space="0" w:color="auto"/>
      </w:divBdr>
    </w:div>
    <w:div w:id="2119980745">
      <w:marLeft w:val="0"/>
      <w:marRight w:val="0"/>
      <w:marTop w:val="0"/>
      <w:marBottom w:val="0"/>
      <w:divBdr>
        <w:top w:val="none" w:sz="0" w:space="0" w:color="auto"/>
        <w:left w:val="none" w:sz="0" w:space="0" w:color="auto"/>
        <w:bottom w:val="none" w:sz="0" w:space="0" w:color="auto"/>
        <w:right w:val="none" w:sz="0" w:space="0" w:color="auto"/>
      </w:divBdr>
    </w:div>
    <w:div w:id="2119980746">
      <w:marLeft w:val="0"/>
      <w:marRight w:val="0"/>
      <w:marTop w:val="0"/>
      <w:marBottom w:val="0"/>
      <w:divBdr>
        <w:top w:val="none" w:sz="0" w:space="0" w:color="auto"/>
        <w:left w:val="none" w:sz="0" w:space="0" w:color="auto"/>
        <w:bottom w:val="none" w:sz="0" w:space="0" w:color="auto"/>
        <w:right w:val="none" w:sz="0" w:space="0" w:color="auto"/>
      </w:divBdr>
    </w:div>
    <w:div w:id="2119980747">
      <w:marLeft w:val="0"/>
      <w:marRight w:val="0"/>
      <w:marTop w:val="0"/>
      <w:marBottom w:val="0"/>
      <w:divBdr>
        <w:top w:val="none" w:sz="0" w:space="0" w:color="auto"/>
        <w:left w:val="none" w:sz="0" w:space="0" w:color="auto"/>
        <w:bottom w:val="none" w:sz="0" w:space="0" w:color="auto"/>
        <w:right w:val="none" w:sz="0" w:space="0" w:color="auto"/>
      </w:divBdr>
    </w:div>
    <w:div w:id="2119980748">
      <w:marLeft w:val="0"/>
      <w:marRight w:val="0"/>
      <w:marTop w:val="0"/>
      <w:marBottom w:val="0"/>
      <w:divBdr>
        <w:top w:val="none" w:sz="0" w:space="0" w:color="auto"/>
        <w:left w:val="none" w:sz="0" w:space="0" w:color="auto"/>
        <w:bottom w:val="none" w:sz="0" w:space="0" w:color="auto"/>
        <w:right w:val="none" w:sz="0" w:space="0" w:color="auto"/>
      </w:divBdr>
    </w:div>
    <w:div w:id="2119980749">
      <w:marLeft w:val="0"/>
      <w:marRight w:val="0"/>
      <w:marTop w:val="0"/>
      <w:marBottom w:val="0"/>
      <w:divBdr>
        <w:top w:val="none" w:sz="0" w:space="0" w:color="auto"/>
        <w:left w:val="none" w:sz="0" w:space="0" w:color="auto"/>
        <w:bottom w:val="none" w:sz="0" w:space="0" w:color="auto"/>
        <w:right w:val="none" w:sz="0" w:space="0" w:color="auto"/>
      </w:divBdr>
    </w:div>
    <w:div w:id="2119980750">
      <w:marLeft w:val="0"/>
      <w:marRight w:val="0"/>
      <w:marTop w:val="0"/>
      <w:marBottom w:val="0"/>
      <w:divBdr>
        <w:top w:val="none" w:sz="0" w:space="0" w:color="auto"/>
        <w:left w:val="none" w:sz="0" w:space="0" w:color="auto"/>
        <w:bottom w:val="none" w:sz="0" w:space="0" w:color="auto"/>
        <w:right w:val="none" w:sz="0" w:space="0" w:color="auto"/>
      </w:divBdr>
    </w:div>
    <w:div w:id="2119980751">
      <w:marLeft w:val="0"/>
      <w:marRight w:val="0"/>
      <w:marTop w:val="0"/>
      <w:marBottom w:val="0"/>
      <w:divBdr>
        <w:top w:val="none" w:sz="0" w:space="0" w:color="auto"/>
        <w:left w:val="none" w:sz="0" w:space="0" w:color="auto"/>
        <w:bottom w:val="none" w:sz="0" w:space="0" w:color="auto"/>
        <w:right w:val="none" w:sz="0" w:space="0" w:color="auto"/>
      </w:divBdr>
    </w:div>
    <w:div w:id="2119980752">
      <w:marLeft w:val="0"/>
      <w:marRight w:val="0"/>
      <w:marTop w:val="0"/>
      <w:marBottom w:val="0"/>
      <w:divBdr>
        <w:top w:val="none" w:sz="0" w:space="0" w:color="auto"/>
        <w:left w:val="none" w:sz="0" w:space="0" w:color="auto"/>
        <w:bottom w:val="none" w:sz="0" w:space="0" w:color="auto"/>
        <w:right w:val="none" w:sz="0" w:space="0" w:color="auto"/>
      </w:divBdr>
    </w:div>
    <w:div w:id="2119980753">
      <w:marLeft w:val="0"/>
      <w:marRight w:val="0"/>
      <w:marTop w:val="0"/>
      <w:marBottom w:val="0"/>
      <w:divBdr>
        <w:top w:val="none" w:sz="0" w:space="0" w:color="auto"/>
        <w:left w:val="none" w:sz="0" w:space="0" w:color="auto"/>
        <w:bottom w:val="none" w:sz="0" w:space="0" w:color="auto"/>
        <w:right w:val="none" w:sz="0" w:space="0" w:color="auto"/>
      </w:divBdr>
    </w:div>
    <w:div w:id="2119980754">
      <w:marLeft w:val="0"/>
      <w:marRight w:val="0"/>
      <w:marTop w:val="0"/>
      <w:marBottom w:val="0"/>
      <w:divBdr>
        <w:top w:val="none" w:sz="0" w:space="0" w:color="auto"/>
        <w:left w:val="none" w:sz="0" w:space="0" w:color="auto"/>
        <w:bottom w:val="none" w:sz="0" w:space="0" w:color="auto"/>
        <w:right w:val="none" w:sz="0" w:space="0" w:color="auto"/>
      </w:divBdr>
    </w:div>
    <w:div w:id="2119980755">
      <w:marLeft w:val="0"/>
      <w:marRight w:val="0"/>
      <w:marTop w:val="0"/>
      <w:marBottom w:val="0"/>
      <w:divBdr>
        <w:top w:val="none" w:sz="0" w:space="0" w:color="auto"/>
        <w:left w:val="none" w:sz="0" w:space="0" w:color="auto"/>
        <w:bottom w:val="none" w:sz="0" w:space="0" w:color="auto"/>
        <w:right w:val="none" w:sz="0" w:space="0" w:color="auto"/>
      </w:divBdr>
    </w:div>
    <w:div w:id="2119980756">
      <w:marLeft w:val="0"/>
      <w:marRight w:val="0"/>
      <w:marTop w:val="0"/>
      <w:marBottom w:val="0"/>
      <w:divBdr>
        <w:top w:val="none" w:sz="0" w:space="0" w:color="auto"/>
        <w:left w:val="none" w:sz="0" w:space="0" w:color="auto"/>
        <w:bottom w:val="none" w:sz="0" w:space="0" w:color="auto"/>
        <w:right w:val="none" w:sz="0" w:space="0" w:color="auto"/>
      </w:divBdr>
    </w:div>
    <w:div w:id="2119980757">
      <w:marLeft w:val="0"/>
      <w:marRight w:val="0"/>
      <w:marTop w:val="0"/>
      <w:marBottom w:val="0"/>
      <w:divBdr>
        <w:top w:val="none" w:sz="0" w:space="0" w:color="auto"/>
        <w:left w:val="none" w:sz="0" w:space="0" w:color="auto"/>
        <w:bottom w:val="none" w:sz="0" w:space="0" w:color="auto"/>
        <w:right w:val="none" w:sz="0" w:space="0" w:color="auto"/>
      </w:divBdr>
    </w:div>
    <w:div w:id="2119980758">
      <w:marLeft w:val="0"/>
      <w:marRight w:val="0"/>
      <w:marTop w:val="0"/>
      <w:marBottom w:val="0"/>
      <w:divBdr>
        <w:top w:val="none" w:sz="0" w:space="0" w:color="auto"/>
        <w:left w:val="none" w:sz="0" w:space="0" w:color="auto"/>
        <w:bottom w:val="none" w:sz="0" w:space="0" w:color="auto"/>
        <w:right w:val="none" w:sz="0" w:space="0" w:color="auto"/>
      </w:divBdr>
    </w:div>
    <w:div w:id="2119980759">
      <w:marLeft w:val="0"/>
      <w:marRight w:val="0"/>
      <w:marTop w:val="0"/>
      <w:marBottom w:val="0"/>
      <w:divBdr>
        <w:top w:val="none" w:sz="0" w:space="0" w:color="auto"/>
        <w:left w:val="none" w:sz="0" w:space="0" w:color="auto"/>
        <w:bottom w:val="none" w:sz="0" w:space="0" w:color="auto"/>
        <w:right w:val="none" w:sz="0" w:space="0" w:color="auto"/>
      </w:divBdr>
    </w:div>
    <w:div w:id="2119980760">
      <w:marLeft w:val="0"/>
      <w:marRight w:val="0"/>
      <w:marTop w:val="0"/>
      <w:marBottom w:val="0"/>
      <w:divBdr>
        <w:top w:val="none" w:sz="0" w:space="0" w:color="auto"/>
        <w:left w:val="none" w:sz="0" w:space="0" w:color="auto"/>
        <w:bottom w:val="none" w:sz="0" w:space="0" w:color="auto"/>
        <w:right w:val="none" w:sz="0" w:space="0" w:color="auto"/>
      </w:divBdr>
    </w:div>
    <w:div w:id="2119980761">
      <w:marLeft w:val="0"/>
      <w:marRight w:val="0"/>
      <w:marTop w:val="0"/>
      <w:marBottom w:val="0"/>
      <w:divBdr>
        <w:top w:val="none" w:sz="0" w:space="0" w:color="auto"/>
        <w:left w:val="none" w:sz="0" w:space="0" w:color="auto"/>
        <w:bottom w:val="none" w:sz="0" w:space="0" w:color="auto"/>
        <w:right w:val="none" w:sz="0" w:space="0" w:color="auto"/>
      </w:divBdr>
    </w:div>
    <w:div w:id="2119980762">
      <w:marLeft w:val="0"/>
      <w:marRight w:val="0"/>
      <w:marTop w:val="0"/>
      <w:marBottom w:val="0"/>
      <w:divBdr>
        <w:top w:val="none" w:sz="0" w:space="0" w:color="auto"/>
        <w:left w:val="none" w:sz="0" w:space="0" w:color="auto"/>
        <w:bottom w:val="none" w:sz="0" w:space="0" w:color="auto"/>
        <w:right w:val="none" w:sz="0" w:space="0" w:color="auto"/>
      </w:divBdr>
    </w:div>
    <w:div w:id="2119980763">
      <w:marLeft w:val="0"/>
      <w:marRight w:val="0"/>
      <w:marTop w:val="0"/>
      <w:marBottom w:val="0"/>
      <w:divBdr>
        <w:top w:val="none" w:sz="0" w:space="0" w:color="auto"/>
        <w:left w:val="none" w:sz="0" w:space="0" w:color="auto"/>
        <w:bottom w:val="none" w:sz="0" w:space="0" w:color="auto"/>
        <w:right w:val="none" w:sz="0" w:space="0" w:color="auto"/>
      </w:divBdr>
    </w:div>
    <w:div w:id="2119980764">
      <w:marLeft w:val="0"/>
      <w:marRight w:val="0"/>
      <w:marTop w:val="0"/>
      <w:marBottom w:val="0"/>
      <w:divBdr>
        <w:top w:val="none" w:sz="0" w:space="0" w:color="auto"/>
        <w:left w:val="none" w:sz="0" w:space="0" w:color="auto"/>
        <w:bottom w:val="none" w:sz="0" w:space="0" w:color="auto"/>
        <w:right w:val="none" w:sz="0" w:space="0" w:color="auto"/>
      </w:divBdr>
    </w:div>
    <w:div w:id="2119980765">
      <w:marLeft w:val="0"/>
      <w:marRight w:val="0"/>
      <w:marTop w:val="0"/>
      <w:marBottom w:val="0"/>
      <w:divBdr>
        <w:top w:val="none" w:sz="0" w:space="0" w:color="auto"/>
        <w:left w:val="none" w:sz="0" w:space="0" w:color="auto"/>
        <w:bottom w:val="none" w:sz="0" w:space="0" w:color="auto"/>
        <w:right w:val="none" w:sz="0" w:space="0" w:color="auto"/>
      </w:divBdr>
    </w:div>
    <w:div w:id="2119980766">
      <w:marLeft w:val="0"/>
      <w:marRight w:val="0"/>
      <w:marTop w:val="0"/>
      <w:marBottom w:val="0"/>
      <w:divBdr>
        <w:top w:val="none" w:sz="0" w:space="0" w:color="auto"/>
        <w:left w:val="none" w:sz="0" w:space="0" w:color="auto"/>
        <w:bottom w:val="none" w:sz="0" w:space="0" w:color="auto"/>
        <w:right w:val="none" w:sz="0" w:space="0" w:color="auto"/>
      </w:divBdr>
    </w:div>
    <w:div w:id="2119980767">
      <w:marLeft w:val="0"/>
      <w:marRight w:val="0"/>
      <w:marTop w:val="0"/>
      <w:marBottom w:val="0"/>
      <w:divBdr>
        <w:top w:val="none" w:sz="0" w:space="0" w:color="auto"/>
        <w:left w:val="none" w:sz="0" w:space="0" w:color="auto"/>
        <w:bottom w:val="none" w:sz="0" w:space="0" w:color="auto"/>
        <w:right w:val="none" w:sz="0" w:space="0" w:color="auto"/>
      </w:divBdr>
    </w:div>
    <w:div w:id="2119980768">
      <w:marLeft w:val="0"/>
      <w:marRight w:val="0"/>
      <w:marTop w:val="0"/>
      <w:marBottom w:val="0"/>
      <w:divBdr>
        <w:top w:val="none" w:sz="0" w:space="0" w:color="auto"/>
        <w:left w:val="none" w:sz="0" w:space="0" w:color="auto"/>
        <w:bottom w:val="none" w:sz="0" w:space="0" w:color="auto"/>
        <w:right w:val="none" w:sz="0" w:space="0" w:color="auto"/>
      </w:divBdr>
    </w:div>
    <w:div w:id="2119980769">
      <w:marLeft w:val="0"/>
      <w:marRight w:val="0"/>
      <w:marTop w:val="0"/>
      <w:marBottom w:val="0"/>
      <w:divBdr>
        <w:top w:val="none" w:sz="0" w:space="0" w:color="auto"/>
        <w:left w:val="none" w:sz="0" w:space="0" w:color="auto"/>
        <w:bottom w:val="none" w:sz="0" w:space="0" w:color="auto"/>
        <w:right w:val="none" w:sz="0" w:space="0" w:color="auto"/>
      </w:divBdr>
    </w:div>
    <w:div w:id="2119980770">
      <w:marLeft w:val="0"/>
      <w:marRight w:val="0"/>
      <w:marTop w:val="0"/>
      <w:marBottom w:val="0"/>
      <w:divBdr>
        <w:top w:val="none" w:sz="0" w:space="0" w:color="auto"/>
        <w:left w:val="none" w:sz="0" w:space="0" w:color="auto"/>
        <w:bottom w:val="none" w:sz="0" w:space="0" w:color="auto"/>
        <w:right w:val="none" w:sz="0" w:space="0" w:color="auto"/>
      </w:divBdr>
    </w:div>
    <w:div w:id="2119980771">
      <w:marLeft w:val="0"/>
      <w:marRight w:val="0"/>
      <w:marTop w:val="0"/>
      <w:marBottom w:val="0"/>
      <w:divBdr>
        <w:top w:val="none" w:sz="0" w:space="0" w:color="auto"/>
        <w:left w:val="none" w:sz="0" w:space="0" w:color="auto"/>
        <w:bottom w:val="none" w:sz="0" w:space="0" w:color="auto"/>
        <w:right w:val="none" w:sz="0" w:space="0" w:color="auto"/>
      </w:divBdr>
    </w:div>
    <w:div w:id="2119980772">
      <w:marLeft w:val="0"/>
      <w:marRight w:val="0"/>
      <w:marTop w:val="0"/>
      <w:marBottom w:val="0"/>
      <w:divBdr>
        <w:top w:val="none" w:sz="0" w:space="0" w:color="auto"/>
        <w:left w:val="none" w:sz="0" w:space="0" w:color="auto"/>
        <w:bottom w:val="none" w:sz="0" w:space="0" w:color="auto"/>
        <w:right w:val="none" w:sz="0" w:space="0" w:color="auto"/>
      </w:divBdr>
    </w:div>
    <w:div w:id="2119980773">
      <w:marLeft w:val="0"/>
      <w:marRight w:val="0"/>
      <w:marTop w:val="0"/>
      <w:marBottom w:val="0"/>
      <w:divBdr>
        <w:top w:val="none" w:sz="0" w:space="0" w:color="auto"/>
        <w:left w:val="none" w:sz="0" w:space="0" w:color="auto"/>
        <w:bottom w:val="none" w:sz="0" w:space="0" w:color="auto"/>
        <w:right w:val="none" w:sz="0" w:space="0" w:color="auto"/>
      </w:divBdr>
    </w:div>
    <w:div w:id="2119980774">
      <w:marLeft w:val="0"/>
      <w:marRight w:val="0"/>
      <w:marTop w:val="0"/>
      <w:marBottom w:val="0"/>
      <w:divBdr>
        <w:top w:val="none" w:sz="0" w:space="0" w:color="auto"/>
        <w:left w:val="none" w:sz="0" w:space="0" w:color="auto"/>
        <w:bottom w:val="none" w:sz="0" w:space="0" w:color="auto"/>
        <w:right w:val="none" w:sz="0" w:space="0" w:color="auto"/>
      </w:divBdr>
    </w:div>
    <w:div w:id="2119980775">
      <w:marLeft w:val="0"/>
      <w:marRight w:val="0"/>
      <w:marTop w:val="0"/>
      <w:marBottom w:val="0"/>
      <w:divBdr>
        <w:top w:val="none" w:sz="0" w:space="0" w:color="auto"/>
        <w:left w:val="none" w:sz="0" w:space="0" w:color="auto"/>
        <w:bottom w:val="none" w:sz="0" w:space="0" w:color="auto"/>
        <w:right w:val="none" w:sz="0" w:space="0" w:color="auto"/>
      </w:divBdr>
    </w:div>
    <w:div w:id="2119980776">
      <w:marLeft w:val="0"/>
      <w:marRight w:val="0"/>
      <w:marTop w:val="0"/>
      <w:marBottom w:val="0"/>
      <w:divBdr>
        <w:top w:val="none" w:sz="0" w:space="0" w:color="auto"/>
        <w:left w:val="none" w:sz="0" w:space="0" w:color="auto"/>
        <w:bottom w:val="none" w:sz="0" w:space="0" w:color="auto"/>
        <w:right w:val="none" w:sz="0" w:space="0" w:color="auto"/>
      </w:divBdr>
    </w:div>
    <w:div w:id="2119980777">
      <w:marLeft w:val="0"/>
      <w:marRight w:val="0"/>
      <w:marTop w:val="0"/>
      <w:marBottom w:val="0"/>
      <w:divBdr>
        <w:top w:val="none" w:sz="0" w:space="0" w:color="auto"/>
        <w:left w:val="none" w:sz="0" w:space="0" w:color="auto"/>
        <w:bottom w:val="none" w:sz="0" w:space="0" w:color="auto"/>
        <w:right w:val="none" w:sz="0" w:space="0" w:color="auto"/>
      </w:divBdr>
    </w:div>
    <w:div w:id="2119980778">
      <w:marLeft w:val="0"/>
      <w:marRight w:val="0"/>
      <w:marTop w:val="0"/>
      <w:marBottom w:val="0"/>
      <w:divBdr>
        <w:top w:val="none" w:sz="0" w:space="0" w:color="auto"/>
        <w:left w:val="none" w:sz="0" w:space="0" w:color="auto"/>
        <w:bottom w:val="none" w:sz="0" w:space="0" w:color="auto"/>
        <w:right w:val="none" w:sz="0" w:space="0" w:color="auto"/>
      </w:divBdr>
    </w:div>
    <w:div w:id="2119980779">
      <w:marLeft w:val="0"/>
      <w:marRight w:val="0"/>
      <w:marTop w:val="0"/>
      <w:marBottom w:val="0"/>
      <w:divBdr>
        <w:top w:val="none" w:sz="0" w:space="0" w:color="auto"/>
        <w:left w:val="none" w:sz="0" w:space="0" w:color="auto"/>
        <w:bottom w:val="none" w:sz="0" w:space="0" w:color="auto"/>
        <w:right w:val="none" w:sz="0" w:space="0" w:color="auto"/>
      </w:divBdr>
    </w:div>
    <w:div w:id="2119980780">
      <w:marLeft w:val="0"/>
      <w:marRight w:val="0"/>
      <w:marTop w:val="0"/>
      <w:marBottom w:val="0"/>
      <w:divBdr>
        <w:top w:val="none" w:sz="0" w:space="0" w:color="auto"/>
        <w:left w:val="none" w:sz="0" w:space="0" w:color="auto"/>
        <w:bottom w:val="none" w:sz="0" w:space="0" w:color="auto"/>
        <w:right w:val="none" w:sz="0" w:space="0" w:color="auto"/>
      </w:divBdr>
    </w:div>
    <w:div w:id="2119980781">
      <w:marLeft w:val="0"/>
      <w:marRight w:val="0"/>
      <w:marTop w:val="0"/>
      <w:marBottom w:val="0"/>
      <w:divBdr>
        <w:top w:val="none" w:sz="0" w:space="0" w:color="auto"/>
        <w:left w:val="none" w:sz="0" w:space="0" w:color="auto"/>
        <w:bottom w:val="none" w:sz="0" w:space="0" w:color="auto"/>
        <w:right w:val="none" w:sz="0" w:space="0" w:color="auto"/>
      </w:divBdr>
    </w:div>
    <w:div w:id="2119980782">
      <w:marLeft w:val="0"/>
      <w:marRight w:val="0"/>
      <w:marTop w:val="0"/>
      <w:marBottom w:val="0"/>
      <w:divBdr>
        <w:top w:val="none" w:sz="0" w:space="0" w:color="auto"/>
        <w:left w:val="none" w:sz="0" w:space="0" w:color="auto"/>
        <w:bottom w:val="none" w:sz="0" w:space="0" w:color="auto"/>
        <w:right w:val="none" w:sz="0" w:space="0" w:color="auto"/>
      </w:divBdr>
    </w:div>
    <w:div w:id="2119980783">
      <w:marLeft w:val="0"/>
      <w:marRight w:val="0"/>
      <w:marTop w:val="0"/>
      <w:marBottom w:val="0"/>
      <w:divBdr>
        <w:top w:val="none" w:sz="0" w:space="0" w:color="auto"/>
        <w:left w:val="none" w:sz="0" w:space="0" w:color="auto"/>
        <w:bottom w:val="none" w:sz="0" w:space="0" w:color="auto"/>
        <w:right w:val="none" w:sz="0" w:space="0" w:color="auto"/>
      </w:divBdr>
    </w:div>
    <w:div w:id="2119980784">
      <w:marLeft w:val="0"/>
      <w:marRight w:val="0"/>
      <w:marTop w:val="0"/>
      <w:marBottom w:val="0"/>
      <w:divBdr>
        <w:top w:val="none" w:sz="0" w:space="0" w:color="auto"/>
        <w:left w:val="none" w:sz="0" w:space="0" w:color="auto"/>
        <w:bottom w:val="none" w:sz="0" w:space="0" w:color="auto"/>
        <w:right w:val="none" w:sz="0" w:space="0" w:color="auto"/>
      </w:divBdr>
    </w:div>
    <w:div w:id="2119980785">
      <w:marLeft w:val="0"/>
      <w:marRight w:val="0"/>
      <w:marTop w:val="0"/>
      <w:marBottom w:val="0"/>
      <w:divBdr>
        <w:top w:val="none" w:sz="0" w:space="0" w:color="auto"/>
        <w:left w:val="none" w:sz="0" w:space="0" w:color="auto"/>
        <w:bottom w:val="none" w:sz="0" w:space="0" w:color="auto"/>
        <w:right w:val="none" w:sz="0" w:space="0" w:color="auto"/>
      </w:divBdr>
    </w:div>
    <w:div w:id="2119980786">
      <w:marLeft w:val="0"/>
      <w:marRight w:val="0"/>
      <w:marTop w:val="0"/>
      <w:marBottom w:val="0"/>
      <w:divBdr>
        <w:top w:val="none" w:sz="0" w:space="0" w:color="auto"/>
        <w:left w:val="none" w:sz="0" w:space="0" w:color="auto"/>
        <w:bottom w:val="none" w:sz="0" w:space="0" w:color="auto"/>
        <w:right w:val="none" w:sz="0" w:space="0" w:color="auto"/>
      </w:divBdr>
    </w:div>
    <w:div w:id="2119980787">
      <w:marLeft w:val="0"/>
      <w:marRight w:val="0"/>
      <w:marTop w:val="0"/>
      <w:marBottom w:val="0"/>
      <w:divBdr>
        <w:top w:val="none" w:sz="0" w:space="0" w:color="auto"/>
        <w:left w:val="none" w:sz="0" w:space="0" w:color="auto"/>
        <w:bottom w:val="none" w:sz="0" w:space="0" w:color="auto"/>
        <w:right w:val="none" w:sz="0" w:space="0" w:color="auto"/>
      </w:divBdr>
    </w:div>
    <w:div w:id="2119980788">
      <w:marLeft w:val="0"/>
      <w:marRight w:val="0"/>
      <w:marTop w:val="0"/>
      <w:marBottom w:val="0"/>
      <w:divBdr>
        <w:top w:val="none" w:sz="0" w:space="0" w:color="auto"/>
        <w:left w:val="none" w:sz="0" w:space="0" w:color="auto"/>
        <w:bottom w:val="none" w:sz="0" w:space="0" w:color="auto"/>
        <w:right w:val="none" w:sz="0" w:space="0" w:color="auto"/>
      </w:divBdr>
    </w:div>
    <w:div w:id="2119980789">
      <w:marLeft w:val="0"/>
      <w:marRight w:val="0"/>
      <w:marTop w:val="0"/>
      <w:marBottom w:val="0"/>
      <w:divBdr>
        <w:top w:val="none" w:sz="0" w:space="0" w:color="auto"/>
        <w:left w:val="none" w:sz="0" w:space="0" w:color="auto"/>
        <w:bottom w:val="none" w:sz="0" w:space="0" w:color="auto"/>
        <w:right w:val="none" w:sz="0" w:space="0" w:color="auto"/>
      </w:divBdr>
    </w:div>
    <w:div w:id="2119980790">
      <w:marLeft w:val="0"/>
      <w:marRight w:val="0"/>
      <w:marTop w:val="0"/>
      <w:marBottom w:val="0"/>
      <w:divBdr>
        <w:top w:val="none" w:sz="0" w:space="0" w:color="auto"/>
        <w:left w:val="none" w:sz="0" w:space="0" w:color="auto"/>
        <w:bottom w:val="none" w:sz="0" w:space="0" w:color="auto"/>
        <w:right w:val="none" w:sz="0" w:space="0" w:color="auto"/>
      </w:divBdr>
    </w:div>
    <w:div w:id="2119980791">
      <w:marLeft w:val="0"/>
      <w:marRight w:val="0"/>
      <w:marTop w:val="0"/>
      <w:marBottom w:val="0"/>
      <w:divBdr>
        <w:top w:val="none" w:sz="0" w:space="0" w:color="auto"/>
        <w:left w:val="none" w:sz="0" w:space="0" w:color="auto"/>
        <w:bottom w:val="none" w:sz="0" w:space="0" w:color="auto"/>
        <w:right w:val="none" w:sz="0" w:space="0" w:color="auto"/>
      </w:divBdr>
    </w:div>
    <w:div w:id="2119980792">
      <w:marLeft w:val="0"/>
      <w:marRight w:val="0"/>
      <w:marTop w:val="0"/>
      <w:marBottom w:val="0"/>
      <w:divBdr>
        <w:top w:val="none" w:sz="0" w:space="0" w:color="auto"/>
        <w:left w:val="none" w:sz="0" w:space="0" w:color="auto"/>
        <w:bottom w:val="none" w:sz="0" w:space="0" w:color="auto"/>
        <w:right w:val="none" w:sz="0" w:space="0" w:color="auto"/>
      </w:divBdr>
    </w:div>
    <w:div w:id="2119980793">
      <w:marLeft w:val="0"/>
      <w:marRight w:val="0"/>
      <w:marTop w:val="0"/>
      <w:marBottom w:val="0"/>
      <w:divBdr>
        <w:top w:val="none" w:sz="0" w:space="0" w:color="auto"/>
        <w:left w:val="none" w:sz="0" w:space="0" w:color="auto"/>
        <w:bottom w:val="none" w:sz="0" w:space="0" w:color="auto"/>
        <w:right w:val="none" w:sz="0" w:space="0" w:color="auto"/>
      </w:divBdr>
    </w:div>
    <w:div w:id="2119980794">
      <w:marLeft w:val="0"/>
      <w:marRight w:val="0"/>
      <w:marTop w:val="0"/>
      <w:marBottom w:val="0"/>
      <w:divBdr>
        <w:top w:val="none" w:sz="0" w:space="0" w:color="auto"/>
        <w:left w:val="none" w:sz="0" w:space="0" w:color="auto"/>
        <w:bottom w:val="none" w:sz="0" w:space="0" w:color="auto"/>
        <w:right w:val="none" w:sz="0" w:space="0" w:color="auto"/>
      </w:divBdr>
    </w:div>
    <w:div w:id="2119980795">
      <w:marLeft w:val="0"/>
      <w:marRight w:val="0"/>
      <w:marTop w:val="0"/>
      <w:marBottom w:val="0"/>
      <w:divBdr>
        <w:top w:val="none" w:sz="0" w:space="0" w:color="auto"/>
        <w:left w:val="none" w:sz="0" w:space="0" w:color="auto"/>
        <w:bottom w:val="none" w:sz="0" w:space="0" w:color="auto"/>
        <w:right w:val="none" w:sz="0" w:space="0" w:color="auto"/>
      </w:divBdr>
    </w:div>
    <w:div w:id="2119980796">
      <w:marLeft w:val="0"/>
      <w:marRight w:val="0"/>
      <w:marTop w:val="0"/>
      <w:marBottom w:val="0"/>
      <w:divBdr>
        <w:top w:val="none" w:sz="0" w:space="0" w:color="auto"/>
        <w:left w:val="none" w:sz="0" w:space="0" w:color="auto"/>
        <w:bottom w:val="none" w:sz="0" w:space="0" w:color="auto"/>
        <w:right w:val="none" w:sz="0" w:space="0" w:color="auto"/>
      </w:divBdr>
    </w:div>
    <w:div w:id="2119980797">
      <w:marLeft w:val="0"/>
      <w:marRight w:val="0"/>
      <w:marTop w:val="0"/>
      <w:marBottom w:val="0"/>
      <w:divBdr>
        <w:top w:val="none" w:sz="0" w:space="0" w:color="auto"/>
        <w:left w:val="none" w:sz="0" w:space="0" w:color="auto"/>
        <w:bottom w:val="none" w:sz="0" w:space="0" w:color="auto"/>
        <w:right w:val="none" w:sz="0" w:space="0" w:color="auto"/>
      </w:divBdr>
    </w:div>
    <w:div w:id="2119980798">
      <w:marLeft w:val="0"/>
      <w:marRight w:val="0"/>
      <w:marTop w:val="0"/>
      <w:marBottom w:val="0"/>
      <w:divBdr>
        <w:top w:val="none" w:sz="0" w:space="0" w:color="auto"/>
        <w:left w:val="none" w:sz="0" w:space="0" w:color="auto"/>
        <w:bottom w:val="none" w:sz="0" w:space="0" w:color="auto"/>
        <w:right w:val="none" w:sz="0" w:space="0" w:color="auto"/>
      </w:divBdr>
    </w:div>
    <w:div w:id="2119980799">
      <w:marLeft w:val="0"/>
      <w:marRight w:val="0"/>
      <w:marTop w:val="0"/>
      <w:marBottom w:val="0"/>
      <w:divBdr>
        <w:top w:val="none" w:sz="0" w:space="0" w:color="auto"/>
        <w:left w:val="none" w:sz="0" w:space="0" w:color="auto"/>
        <w:bottom w:val="none" w:sz="0" w:space="0" w:color="auto"/>
        <w:right w:val="none" w:sz="0" w:space="0" w:color="auto"/>
      </w:divBdr>
    </w:div>
    <w:div w:id="2119980800">
      <w:marLeft w:val="0"/>
      <w:marRight w:val="0"/>
      <w:marTop w:val="0"/>
      <w:marBottom w:val="0"/>
      <w:divBdr>
        <w:top w:val="none" w:sz="0" w:space="0" w:color="auto"/>
        <w:left w:val="none" w:sz="0" w:space="0" w:color="auto"/>
        <w:bottom w:val="none" w:sz="0" w:space="0" w:color="auto"/>
        <w:right w:val="none" w:sz="0" w:space="0" w:color="auto"/>
      </w:divBdr>
    </w:div>
    <w:div w:id="2119980801">
      <w:marLeft w:val="0"/>
      <w:marRight w:val="0"/>
      <w:marTop w:val="0"/>
      <w:marBottom w:val="0"/>
      <w:divBdr>
        <w:top w:val="none" w:sz="0" w:space="0" w:color="auto"/>
        <w:left w:val="none" w:sz="0" w:space="0" w:color="auto"/>
        <w:bottom w:val="none" w:sz="0" w:space="0" w:color="auto"/>
        <w:right w:val="none" w:sz="0" w:space="0" w:color="auto"/>
      </w:divBdr>
    </w:div>
    <w:div w:id="2119980802">
      <w:marLeft w:val="0"/>
      <w:marRight w:val="0"/>
      <w:marTop w:val="0"/>
      <w:marBottom w:val="0"/>
      <w:divBdr>
        <w:top w:val="none" w:sz="0" w:space="0" w:color="auto"/>
        <w:left w:val="none" w:sz="0" w:space="0" w:color="auto"/>
        <w:bottom w:val="none" w:sz="0" w:space="0" w:color="auto"/>
        <w:right w:val="none" w:sz="0" w:space="0" w:color="auto"/>
      </w:divBdr>
    </w:div>
    <w:div w:id="2119980803">
      <w:marLeft w:val="0"/>
      <w:marRight w:val="0"/>
      <w:marTop w:val="0"/>
      <w:marBottom w:val="0"/>
      <w:divBdr>
        <w:top w:val="none" w:sz="0" w:space="0" w:color="auto"/>
        <w:left w:val="none" w:sz="0" w:space="0" w:color="auto"/>
        <w:bottom w:val="none" w:sz="0" w:space="0" w:color="auto"/>
        <w:right w:val="none" w:sz="0" w:space="0" w:color="auto"/>
      </w:divBdr>
    </w:div>
    <w:div w:id="2119980804">
      <w:marLeft w:val="0"/>
      <w:marRight w:val="0"/>
      <w:marTop w:val="0"/>
      <w:marBottom w:val="0"/>
      <w:divBdr>
        <w:top w:val="none" w:sz="0" w:space="0" w:color="auto"/>
        <w:left w:val="none" w:sz="0" w:space="0" w:color="auto"/>
        <w:bottom w:val="none" w:sz="0" w:space="0" w:color="auto"/>
        <w:right w:val="none" w:sz="0" w:space="0" w:color="auto"/>
      </w:divBdr>
    </w:div>
    <w:div w:id="2119980805">
      <w:marLeft w:val="0"/>
      <w:marRight w:val="0"/>
      <w:marTop w:val="0"/>
      <w:marBottom w:val="0"/>
      <w:divBdr>
        <w:top w:val="none" w:sz="0" w:space="0" w:color="auto"/>
        <w:left w:val="none" w:sz="0" w:space="0" w:color="auto"/>
        <w:bottom w:val="none" w:sz="0" w:space="0" w:color="auto"/>
        <w:right w:val="none" w:sz="0" w:space="0" w:color="auto"/>
      </w:divBdr>
    </w:div>
    <w:div w:id="2119980806">
      <w:marLeft w:val="0"/>
      <w:marRight w:val="0"/>
      <w:marTop w:val="0"/>
      <w:marBottom w:val="0"/>
      <w:divBdr>
        <w:top w:val="none" w:sz="0" w:space="0" w:color="auto"/>
        <w:left w:val="none" w:sz="0" w:space="0" w:color="auto"/>
        <w:bottom w:val="none" w:sz="0" w:space="0" w:color="auto"/>
        <w:right w:val="none" w:sz="0" w:space="0" w:color="auto"/>
      </w:divBdr>
    </w:div>
    <w:div w:id="2119980807">
      <w:marLeft w:val="0"/>
      <w:marRight w:val="0"/>
      <w:marTop w:val="0"/>
      <w:marBottom w:val="0"/>
      <w:divBdr>
        <w:top w:val="none" w:sz="0" w:space="0" w:color="auto"/>
        <w:left w:val="none" w:sz="0" w:space="0" w:color="auto"/>
        <w:bottom w:val="none" w:sz="0" w:space="0" w:color="auto"/>
        <w:right w:val="none" w:sz="0" w:space="0" w:color="auto"/>
      </w:divBdr>
    </w:div>
    <w:div w:id="2119980808">
      <w:marLeft w:val="0"/>
      <w:marRight w:val="0"/>
      <w:marTop w:val="0"/>
      <w:marBottom w:val="0"/>
      <w:divBdr>
        <w:top w:val="none" w:sz="0" w:space="0" w:color="auto"/>
        <w:left w:val="none" w:sz="0" w:space="0" w:color="auto"/>
        <w:bottom w:val="none" w:sz="0" w:space="0" w:color="auto"/>
        <w:right w:val="none" w:sz="0" w:space="0" w:color="auto"/>
      </w:divBdr>
    </w:div>
    <w:div w:id="2119980809">
      <w:marLeft w:val="0"/>
      <w:marRight w:val="0"/>
      <w:marTop w:val="0"/>
      <w:marBottom w:val="0"/>
      <w:divBdr>
        <w:top w:val="none" w:sz="0" w:space="0" w:color="auto"/>
        <w:left w:val="none" w:sz="0" w:space="0" w:color="auto"/>
        <w:bottom w:val="none" w:sz="0" w:space="0" w:color="auto"/>
        <w:right w:val="none" w:sz="0" w:space="0" w:color="auto"/>
      </w:divBdr>
    </w:div>
    <w:div w:id="2119980810">
      <w:marLeft w:val="0"/>
      <w:marRight w:val="0"/>
      <w:marTop w:val="0"/>
      <w:marBottom w:val="0"/>
      <w:divBdr>
        <w:top w:val="none" w:sz="0" w:space="0" w:color="auto"/>
        <w:left w:val="none" w:sz="0" w:space="0" w:color="auto"/>
        <w:bottom w:val="none" w:sz="0" w:space="0" w:color="auto"/>
        <w:right w:val="none" w:sz="0" w:space="0" w:color="auto"/>
      </w:divBdr>
    </w:div>
    <w:div w:id="2119980811">
      <w:marLeft w:val="0"/>
      <w:marRight w:val="0"/>
      <w:marTop w:val="0"/>
      <w:marBottom w:val="0"/>
      <w:divBdr>
        <w:top w:val="none" w:sz="0" w:space="0" w:color="auto"/>
        <w:left w:val="none" w:sz="0" w:space="0" w:color="auto"/>
        <w:bottom w:val="none" w:sz="0" w:space="0" w:color="auto"/>
        <w:right w:val="none" w:sz="0" w:space="0" w:color="auto"/>
      </w:divBdr>
    </w:div>
    <w:div w:id="2119980812">
      <w:marLeft w:val="0"/>
      <w:marRight w:val="0"/>
      <w:marTop w:val="0"/>
      <w:marBottom w:val="0"/>
      <w:divBdr>
        <w:top w:val="none" w:sz="0" w:space="0" w:color="auto"/>
        <w:left w:val="none" w:sz="0" w:space="0" w:color="auto"/>
        <w:bottom w:val="none" w:sz="0" w:space="0" w:color="auto"/>
        <w:right w:val="none" w:sz="0" w:space="0" w:color="auto"/>
      </w:divBdr>
    </w:div>
    <w:div w:id="2119980813">
      <w:marLeft w:val="0"/>
      <w:marRight w:val="0"/>
      <w:marTop w:val="0"/>
      <w:marBottom w:val="0"/>
      <w:divBdr>
        <w:top w:val="none" w:sz="0" w:space="0" w:color="auto"/>
        <w:left w:val="none" w:sz="0" w:space="0" w:color="auto"/>
        <w:bottom w:val="none" w:sz="0" w:space="0" w:color="auto"/>
        <w:right w:val="none" w:sz="0" w:space="0" w:color="auto"/>
      </w:divBdr>
    </w:div>
    <w:div w:id="2119980814">
      <w:marLeft w:val="0"/>
      <w:marRight w:val="0"/>
      <w:marTop w:val="0"/>
      <w:marBottom w:val="0"/>
      <w:divBdr>
        <w:top w:val="none" w:sz="0" w:space="0" w:color="auto"/>
        <w:left w:val="none" w:sz="0" w:space="0" w:color="auto"/>
        <w:bottom w:val="none" w:sz="0" w:space="0" w:color="auto"/>
        <w:right w:val="none" w:sz="0" w:space="0" w:color="auto"/>
      </w:divBdr>
    </w:div>
    <w:div w:id="2119980815">
      <w:marLeft w:val="0"/>
      <w:marRight w:val="0"/>
      <w:marTop w:val="0"/>
      <w:marBottom w:val="0"/>
      <w:divBdr>
        <w:top w:val="none" w:sz="0" w:space="0" w:color="auto"/>
        <w:left w:val="none" w:sz="0" w:space="0" w:color="auto"/>
        <w:bottom w:val="none" w:sz="0" w:space="0" w:color="auto"/>
        <w:right w:val="none" w:sz="0" w:space="0" w:color="auto"/>
      </w:divBdr>
    </w:div>
    <w:div w:id="2119980816">
      <w:marLeft w:val="0"/>
      <w:marRight w:val="0"/>
      <w:marTop w:val="0"/>
      <w:marBottom w:val="0"/>
      <w:divBdr>
        <w:top w:val="none" w:sz="0" w:space="0" w:color="auto"/>
        <w:left w:val="none" w:sz="0" w:space="0" w:color="auto"/>
        <w:bottom w:val="none" w:sz="0" w:space="0" w:color="auto"/>
        <w:right w:val="none" w:sz="0" w:space="0" w:color="auto"/>
      </w:divBdr>
    </w:div>
    <w:div w:id="2119980817">
      <w:marLeft w:val="0"/>
      <w:marRight w:val="0"/>
      <w:marTop w:val="0"/>
      <w:marBottom w:val="0"/>
      <w:divBdr>
        <w:top w:val="none" w:sz="0" w:space="0" w:color="auto"/>
        <w:left w:val="none" w:sz="0" w:space="0" w:color="auto"/>
        <w:bottom w:val="none" w:sz="0" w:space="0" w:color="auto"/>
        <w:right w:val="none" w:sz="0" w:space="0" w:color="auto"/>
      </w:divBdr>
    </w:div>
    <w:div w:id="2119980818">
      <w:marLeft w:val="0"/>
      <w:marRight w:val="0"/>
      <w:marTop w:val="0"/>
      <w:marBottom w:val="0"/>
      <w:divBdr>
        <w:top w:val="none" w:sz="0" w:space="0" w:color="auto"/>
        <w:left w:val="none" w:sz="0" w:space="0" w:color="auto"/>
        <w:bottom w:val="none" w:sz="0" w:space="0" w:color="auto"/>
        <w:right w:val="none" w:sz="0" w:space="0" w:color="auto"/>
      </w:divBdr>
    </w:div>
    <w:div w:id="2119980819">
      <w:marLeft w:val="0"/>
      <w:marRight w:val="0"/>
      <w:marTop w:val="0"/>
      <w:marBottom w:val="0"/>
      <w:divBdr>
        <w:top w:val="none" w:sz="0" w:space="0" w:color="auto"/>
        <w:left w:val="none" w:sz="0" w:space="0" w:color="auto"/>
        <w:bottom w:val="none" w:sz="0" w:space="0" w:color="auto"/>
        <w:right w:val="none" w:sz="0" w:space="0" w:color="auto"/>
      </w:divBdr>
    </w:div>
    <w:div w:id="2119980820">
      <w:marLeft w:val="0"/>
      <w:marRight w:val="0"/>
      <w:marTop w:val="0"/>
      <w:marBottom w:val="0"/>
      <w:divBdr>
        <w:top w:val="none" w:sz="0" w:space="0" w:color="auto"/>
        <w:left w:val="none" w:sz="0" w:space="0" w:color="auto"/>
        <w:bottom w:val="none" w:sz="0" w:space="0" w:color="auto"/>
        <w:right w:val="none" w:sz="0" w:space="0" w:color="auto"/>
      </w:divBdr>
    </w:div>
    <w:div w:id="2119980821">
      <w:marLeft w:val="0"/>
      <w:marRight w:val="0"/>
      <w:marTop w:val="0"/>
      <w:marBottom w:val="0"/>
      <w:divBdr>
        <w:top w:val="none" w:sz="0" w:space="0" w:color="auto"/>
        <w:left w:val="none" w:sz="0" w:space="0" w:color="auto"/>
        <w:bottom w:val="none" w:sz="0" w:space="0" w:color="auto"/>
        <w:right w:val="none" w:sz="0" w:space="0" w:color="auto"/>
      </w:divBdr>
    </w:div>
    <w:div w:id="2119980822">
      <w:marLeft w:val="0"/>
      <w:marRight w:val="0"/>
      <w:marTop w:val="0"/>
      <w:marBottom w:val="0"/>
      <w:divBdr>
        <w:top w:val="none" w:sz="0" w:space="0" w:color="auto"/>
        <w:left w:val="none" w:sz="0" w:space="0" w:color="auto"/>
        <w:bottom w:val="none" w:sz="0" w:space="0" w:color="auto"/>
        <w:right w:val="none" w:sz="0" w:space="0" w:color="auto"/>
      </w:divBdr>
    </w:div>
    <w:div w:id="2119980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76236-5635-47E9-97DE-44FEC585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2318</Words>
  <Characters>13642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RS                           RU</vt:lpstr>
    </vt:vector>
  </TitlesOfParts>
  <Company>ÚMČ Praha - Kunratice</Company>
  <LinksUpToDate>false</LinksUpToDate>
  <CharactersWithSpaces>15929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RU</dc:title>
  <dc:subject/>
  <dc:creator>vomackova</dc:creator>
  <cp:keywords/>
  <dc:description/>
  <cp:lastModifiedBy>Vomáčková Blanka</cp:lastModifiedBy>
  <cp:revision>2</cp:revision>
  <cp:lastPrinted>2020-06-04T15:27:00Z</cp:lastPrinted>
  <dcterms:created xsi:type="dcterms:W3CDTF">2020-06-04T15:36:00Z</dcterms:created>
  <dcterms:modified xsi:type="dcterms:W3CDTF">2020-06-04T15:36:00Z</dcterms:modified>
</cp:coreProperties>
</file>