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0" w:type="auto"/>
        <w:tblLook w:val="04A0" w:firstRow="1" w:lastRow="0" w:firstColumn="1" w:lastColumn="0" w:noHBand="0" w:noVBand="1"/>
      </w:tblPr>
      <w:tblGrid>
        <w:gridCol w:w="1555"/>
        <w:gridCol w:w="7366"/>
      </w:tblGrid>
      <w:tr w:rsidR="00F917AB" w:rsidTr="00F917AB">
        <w:tc>
          <w:tcPr>
            <w:tcW w:w="1555" w:type="dxa"/>
          </w:tcPr>
          <w:p w:rsidR="00F917AB" w:rsidRDefault="00F917AB">
            <w:pPr>
              <w:pStyle w:val="Standard"/>
              <w:widowControl w:val="0"/>
              <w:autoSpaceDE w:val="0"/>
              <w:jc w:val="both"/>
            </w:pPr>
            <w:r w:rsidRPr="00541504">
              <w:rPr>
                <w:b/>
                <w:bCs/>
                <w:caps/>
                <w:noProof/>
                <w:sz w:val="32"/>
                <w:szCs w:val="32"/>
                <w:lang w:eastAsia="cs-CZ"/>
              </w:rPr>
              <w:drawing>
                <wp:anchor distT="0" distB="0" distL="114300" distR="114300" simplePos="0" relativeHeight="251659264" behindDoc="0" locked="0" layoutInCell="1" allowOverlap="1" wp14:anchorId="587E0368" wp14:editId="75558D70">
                  <wp:simplePos x="0" y="0"/>
                  <wp:positionH relativeFrom="margin">
                    <wp:posOffset>-8890</wp:posOffset>
                  </wp:positionH>
                  <wp:positionV relativeFrom="paragraph">
                    <wp:posOffset>158750</wp:posOffset>
                  </wp:positionV>
                  <wp:extent cx="790575" cy="848995"/>
                  <wp:effectExtent l="0" t="0" r="9525" b="825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848995"/>
                          </a:xfrm>
                          <a:prstGeom prst="rect">
                            <a:avLst/>
                          </a:prstGeom>
                          <a:noFill/>
                        </pic:spPr>
                      </pic:pic>
                    </a:graphicData>
                  </a:graphic>
                  <wp14:sizeRelH relativeFrom="page">
                    <wp14:pctWidth>0</wp14:pctWidth>
                  </wp14:sizeRelH>
                  <wp14:sizeRelV relativeFrom="page">
                    <wp14:pctHeight>0</wp14:pctHeight>
                  </wp14:sizeRelV>
                </wp:anchor>
              </w:drawing>
            </w:r>
          </w:p>
        </w:tc>
        <w:tc>
          <w:tcPr>
            <w:tcW w:w="7366" w:type="dxa"/>
          </w:tcPr>
          <w:p w:rsidR="00F917AB" w:rsidRDefault="00F917AB">
            <w:pPr>
              <w:pStyle w:val="Standard"/>
              <w:widowControl w:val="0"/>
              <w:autoSpaceDE w:val="0"/>
              <w:jc w:val="both"/>
            </w:pPr>
          </w:p>
          <w:p w:rsidR="00F917AB" w:rsidRDefault="00F917AB">
            <w:pPr>
              <w:pStyle w:val="Standard"/>
              <w:widowControl w:val="0"/>
              <w:autoSpaceDE w:val="0"/>
              <w:jc w:val="both"/>
            </w:pPr>
            <w:r>
              <w:t>Městská část Praha - Kunratice jako provozovatel veřejného pohřebiště podle § 16 odst. 1 zákona č. 256/2001 Sb., o pohřebnictví a o změně některých zákonů ve znění pozdějších předpisů vydává v souladu s ustanovením § 19 citovaného zákona (dále jen „zákon“)</w:t>
            </w:r>
            <w:r>
              <w:rPr>
                <w:b/>
                <w:bCs/>
              </w:rPr>
              <w:t xml:space="preserve"> </w:t>
            </w:r>
            <w:r>
              <w:t xml:space="preserve">řád veřejného pohřebiště (dále jen „řád </w:t>
            </w:r>
            <w:proofErr w:type="gramStart"/>
            <w:r>
              <w:t>pohřebiště“) .</w:t>
            </w:r>
            <w:proofErr w:type="gramEnd"/>
          </w:p>
        </w:tc>
      </w:tr>
    </w:tbl>
    <w:p w:rsidR="006B1026" w:rsidRDefault="006B1026">
      <w:pPr>
        <w:pStyle w:val="Standard"/>
        <w:widowControl w:val="0"/>
        <w:autoSpaceDE w:val="0"/>
        <w:jc w:val="both"/>
      </w:pPr>
    </w:p>
    <w:p w:rsidR="006B1026" w:rsidRDefault="006B1026">
      <w:pPr>
        <w:pStyle w:val="Standard"/>
        <w:widowControl w:val="0"/>
        <w:autoSpaceDE w:val="0"/>
        <w:jc w:val="both"/>
      </w:pPr>
    </w:p>
    <w:p w:rsidR="00F75B81" w:rsidRDefault="00F75B81" w:rsidP="00F75B81">
      <w:pPr>
        <w:pStyle w:val="Standard"/>
        <w:widowControl w:val="0"/>
        <w:autoSpaceDE w:val="0"/>
        <w:jc w:val="center"/>
        <w:rPr>
          <w:b/>
          <w:bCs/>
          <w:sz w:val="28"/>
          <w:szCs w:val="28"/>
          <w:u w:val="single"/>
        </w:rPr>
      </w:pPr>
      <w:proofErr w:type="gramStart"/>
      <w:r>
        <w:rPr>
          <w:b/>
          <w:bCs/>
          <w:sz w:val="28"/>
          <w:szCs w:val="28"/>
          <w:u w:val="single"/>
        </w:rPr>
        <w:t>Ř Á D</w:t>
      </w:r>
      <w:r w:rsidR="00A140EB">
        <w:rPr>
          <w:b/>
          <w:bCs/>
          <w:sz w:val="28"/>
          <w:szCs w:val="28"/>
          <w:u w:val="single"/>
        </w:rPr>
        <w:t xml:space="preserve"> </w:t>
      </w:r>
      <w:r>
        <w:rPr>
          <w:b/>
          <w:bCs/>
          <w:sz w:val="28"/>
          <w:szCs w:val="28"/>
          <w:u w:val="single"/>
        </w:rPr>
        <w:t xml:space="preserve"> </w:t>
      </w:r>
      <w:r w:rsidR="00A140EB">
        <w:rPr>
          <w:b/>
          <w:bCs/>
          <w:sz w:val="28"/>
          <w:szCs w:val="28"/>
          <w:u w:val="single"/>
        </w:rPr>
        <w:t xml:space="preserve"> </w:t>
      </w:r>
      <w:r>
        <w:rPr>
          <w:b/>
          <w:bCs/>
          <w:sz w:val="28"/>
          <w:szCs w:val="28"/>
          <w:u w:val="single"/>
        </w:rPr>
        <w:t xml:space="preserve"> V E Ř E J N É H O </w:t>
      </w:r>
      <w:r w:rsidR="00A140EB">
        <w:rPr>
          <w:b/>
          <w:bCs/>
          <w:sz w:val="28"/>
          <w:szCs w:val="28"/>
          <w:u w:val="single"/>
        </w:rPr>
        <w:t xml:space="preserve">  </w:t>
      </w:r>
      <w:r>
        <w:rPr>
          <w:b/>
          <w:bCs/>
          <w:sz w:val="28"/>
          <w:szCs w:val="28"/>
          <w:u w:val="single"/>
        </w:rPr>
        <w:t xml:space="preserve"> P O H Ř E B I Š T Ě</w:t>
      </w:r>
      <w:proofErr w:type="gramEnd"/>
    </w:p>
    <w:p w:rsidR="00F75B81" w:rsidRDefault="00F75B81" w:rsidP="00F75B81">
      <w:pPr>
        <w:pStyle w:val="Standard"/>
        <w:widowControl w:val="0"/>
        <w:autoSpaceDE w:val="0"/>
        <w:jc w:val="center"/>
        <w:rPr>
          <w:b/>
          <w:bCs/>
          <w:sz w:val="28"/>
          <w:szCs w:val="28"/>
          <w:u w:val="single"/>
        </w:rPr>
      </w:pPr>
      <w:proofErr w:type="gramStart"/>
      <w:r>
        <w:rPr>
          <w:b/>
          <w:bCs/>
          <w:sz w:val="28"/>
          <w:szCs w:val="28"/>
          <w:u w:val="single"/>
        </w:rPr>
        <w:t xml:space="preserve">MĚSTSKÉ </w:t>
      </w:r>
      <w:r w:rsidR="00A140EB">
        <w:rPr>
          <w:b/>
          <w:bCs/>
          <w:sz w:val="28"/>
          <w:szCs w:val="28"/>
          <w:u w:val="single"/>
        </w:rPr>
        <w:t xml:space="preserve"> </w:t>
      </w:r>
      <w:r>
        <w:rPr>
          <w:b/>
          <w:bCs/>
          <w:sz w:val="28"/>
          <w:szCs w:val="28"/>
          <w:u w:val="single"/>
        </w:rPr>
        <w:t>ČÁSTI</w:t>
      </w:r>
      <w:proofErr w:type="gramEnd"/>
      <w:r w:rsidR="00A140EB">
        <w:rPr>
          <w:b/>
          <w:bCs/>
          <w:sz w:val="28"/>
          <w:szCs w:val="28"/>
          <w:u w:val="single"/>
        </w:rPr>
        <w:t xml:space="preserve">  </w:t>
      </w:r>
      <w:r>
        <w:rPr>
          <w:b/>
          <w:bCs/>
          <w:sz w:val="28"/>
          <w:szCs w:val="28"/>
          <w:u w:val="single"/>
        </w:rPr>
        <w:t xml:space="preserve"> PRAHA-KUNRATICE</w:t>
      </w:r>
    </w:p>
    <w:p w:rsidR="00767594" w:rsidRDefault="00767594" w:rsidP="00767594">
      <w:pPr>
        <w:pStyle w:val="Standard"/>
        <w:widowControl w:val="0"/>
        <w:autoSpaceDE w:val="0"/>
        <w:rPr>
          <w:b/>
          <w:bCs/>
          <w:sz w:val="28"/>
          <w:szCs w:val="28"/>
          <w:u w:val="single"/>
        </w:rPr>
      </w:pPr>
    </w:p>
    <w:p w:rsidR="00767594" w:rsidRPr="00767594" w:rsidRDefault="00767594" w:rsidP="00767594">
      <w:pPr>
        <w:pStyle w:val="Standard"/>
        <w:widowControl w:val="0"/>
        <w:numPr>
          <w:ilvl w:val="0"/>
          <w:numId w:val="2"/>
        </w:numPr>
        <w:autoSpaceDE w:val="0"/>
        <w:rPr>
          <w:b/>
          <w:bCs/>
          <w:u w:val="single"/>
        </w:rPr>
      </w:pPr>
      <w:r>
        <w:rPr>
          <w:bCs/>
        </w:rPr>
        <w:t>Starostka Mě</w:t>
      </w:r>
      <w:r w:rsidR="00B53C7A">
        <w:rPr>
          <w:bCs/>
        </w:rPr>
        <w:t>s</w:t>
      </w:r>
      <w:r>
        <w:rPr>
          <w:bCs/>
        </w:rPr>
        <w:t xml:space="preserve">tské části Praha-Kunratice ve smyslu § 95 odst. 2 zákona č. 131/2000 Sb. o hlavním městě </w:t>
      </w:r>
      <w:r w:rsidR="00434E09">
        <w:rPr>
          <w:bCs/>
        </w:rPr>
        <w:t>Praze</w:t>
      </w:r>
      <w:r>
        <w:rPr>
          <w:bCs/>
        </w:rPr>
        <w:t xml:space="preserve">, ve znění pozdějších předpisů schválila tento řád veřejného pohřebiště Městské části Praha-Kunratice dne </w:t>
      </w:r>
      <w:proofErr w:type="gramStart"/>
      <w:r w:rsidR="00CB3DF3">
        <w:rPr>
          <w:bCs/>
        </w:rPr>
        <w:t>15.6.</w:t>
      </w:r>
      <w:r>
        <w:rPr>
          <w:bCs/>
        </w:rPr>
        <w:t>.2020</w:t>
      </w:r>
      <w:proofErr w:type="gramEnd"/>
      <w:r>
        <w:rPr>
          <w:bCs/>
        </w:rPr>
        <w:t>.</w:t>
      </w:r>
    </w:p>
    <w:p w:rsidR="00767594" w:rsidRPr="00767594" w:rsidRDefault="00767594" w:rsidP="00767594">
      <w:pPr>
        <w:pStyle w:val="Standard"/>
        <w:widowControl w:val="0"/>
        <w:numPr>
          <w:ilvl w:val="0"/>
          <w:numId w:val="2"/>
        </w:numPr>
        <w:autoSpaceDE w:val="0"/>
        <w:rPr>
          <w:b/>
          <w:bCs/>
          <w:u w:val="single"/>
        </w:rPr>
      </w:pPr>
      <w:r>
        <w:rPr>
          <w:bCs/>
        </w:rPr>
        <w:t xml:space="preserve">Řád veřejného pohřebiště </w:t>
      </w:r>
      <w:r w:rsidR="00B53C7A">
        <w:rPr>
          <w:bCs/>
        </w:rPr>
        <w:t xml:space="preserve">městská část vydává po souhlasu Hlavního města Prahy, odboru živnostenského a </w:t>
      </w:r>
      <w:proofErr w:type="spellStart"/>
      <w:r w:rsidR="00B53C7A">
        <w:rPr>
          <w:bCs/>
        </w:rPr>
        <w:t>občanskosprávního</w:t>
      </w:r>
      <w:proofErr w:type="spellEnd"/>
      <w:r w:rsidR="00B53C7A">
        <w:rPr>
          <w:bCs/>
        </w:rPr>
        <w:t xml:space="preserve"> ze dne </w:t>
      </w:r>
      <w:r w:rsidR="00BA3F38">
        <w:rPr>
          <w:bCs/>
        </w:rPr>
        <w:t>5. 6. 2020</w:t>
      </w:r>
      <w:r w:rsidR="00B53C7A">
        <w:rPr>
          <w:bCs/>
        </w:rPr>
        <w:t xml:space="preserve">, vydaného </w:t>
      </w:r>
      <w:proofErr w:type="spellStart"/>
      <w:r w:rsidR="00B53C7A">
        <w:rPr>
          <w:bCs/>
        </w:rPr>
        <w:t>poč</w:t>
      </w:r>
      <w:proofErr w:type="spellEnd"/>
      <w:r w:rsidR="00B53C7A">
        <w:rPr>
          <w:bCs/>
        </w:rPr>
        <w:t xml:space="preserve"> </w:t>
      </w:r>
      <w:proofErr w:type="gramStart"/>
      <w:r w:rsidR="00B53C7A">
        <w:rPr>
          <w:bCs/>
        </w:rPr>
        <w:t>č.j.</w:t>
      </w:r>
      <w:proofErr w:type="gramEnd"/>
      <w:r w:rsidR="00B53C7A">
        <w:rPr>
          <w:bCs/>
        </w:rPr>
        <w:t xml:space="preserve"> </w:t>
      </w:r>
      <w:r w:rsidR="00BA3F38">
        <w:rPr>
          <w:bCs/>
        </w:rPr>
        <w:t>MHMP 845449/2020.</w:t>
      </w:r>
    </w:p>
    <w:p w:rsidR="006B1026" w:rsidRDefault="006B1026">
      <w:pPr>
        <w:pStyle w:val="Standard"/>
        <w:widowControl w:val="0"/>
        <w:autoSpaceDE w:val="0"/>
        <w:jc w:val="both"/>
      </w:pPr>
    </w:p>
    <w:p w:rsidR="006B1026" w:rsidRDefault="00EA2101">
      <w:pPr>
        <w:pStyle w:val="Standard"/>
        <w:widowControl w:val="0"/>
        <w:autoSpaceDE w:val="0"/>
        <w:jc w:val="center"/>
        <w:rPr>
          <w:b/>
          <w:bCs/>
        </w:rPr>
      </w:pPr>
      <w:r>
        <w:rPr>
          <w:b/>
          <w:bCs/>
        </w:rPr>
        <w:t>Článek I</w:t>
      </w:r>
    </w:p>
    <w:p w:rsidR="006B1026" w:rsidRPr="00B53C7A" w:rsidRDefault="00EA2101" w:rsidP="00B53C7A">
      <w:pPr>
        <w:pStyle w:val="Standard"/>
        <w:widowControl w:val="0"/>
        <w:autoSpaceDE w:val="0"/>
        <w:jc w:val="center"/>
        <w:rPr>
          <w:b/>
        </w:rPr>
      </w:pPr>
      <w:r w:rsidRPr="00B53C7A">
        <w:rPr>
          <w:b/>
        </w:rPr>
        <w:t>Úvodní ustanovení</w:t>
      </w:r>
    </w:p>
    <w:p w:rsidR="001934ED" w:rsidRDefault="001934ED" w:rsidP="001934ED">
      <w:pPr>
        <w:pStyle w:val="Standard"/>
        <w:widowControl w:val="0"/>
        <w:autoSpaceDE w:val="0"/>
        <w:jc w:val="both"/>
      </w:pPr>
    </w:p>
    <w:p w:rsidR="006B1026" w:rsidRDefault="00EA2101" w:rsidP="00B53C7A">
      <w:pPr>
        <w:pStyle w:val="Standard"/>
        <w:widowControl w:val="0"/>
        <w:numPr>
          <w:ilvl w:val="0"/>
          <w:numId w:val="3"/>
        </w:numPr>
        <w:autoSpaceDE w:val="0"/>
        <w:jc w:val="both"/>
      </w:pPr>
      <w:r>
        <w:t>Řád upravuje provoz</w:t>
      </w:r>
      <w:r w:rsidR="00B53C7A">
        <w:t>ování</w:t>
      </w:r>
      <w:r>
        <w:t xml:space="preserve"> Kunratického hřbitova (dále jen </w:t>
      </w:r>
      <w:r w:rsidR="00B53C7A">
        <w:t>„</w:t>
      </w:r>
      <w:r>
        <w:t>pohřebiště</w:t>
      </w:r>
      <w:r w:rsidR="00B53C7A">
        <w:t>“</w:t>
      </w:r>
      <w:r>
        <w:t>).</w:t>
      </w:r>
    </w:p>
    <w:p w:rsidR="006B1026" w:rsidRDefault="00EA2101" w:rsidP="00B53C7A">
      <w:pPr>
        <w:pStyle w:val="Standard"/>
        <w:widowControl w:val="0"/>
        <w:numPr>
          <w:ilvl w:val="0"/>
          <w:numId w:val="3"/>
        </w:numPr>
        <w:autoSpaceDE w:val="0"/>
        <w:jc w:val="both"/>
      </w:pPr>
      <w:r>
        <w:t>Provozovatel pohřebiště zajišťuje provozování pohřebiště v souladu s ustanovením §</w:t>
      </w:r>
      <w:r w:rsidR="00B53C7A">
        <w:t> </w:t>
      </w:r>
      <w:r>
        <w:t xml:space="preserve"> 18</w:t>
      </w:r>
      <w:r w:rsidR="00B53C7A">
        <w:t> </w:t>
      </w:r>
      <w:r>
        <w:t xml:space="preserve"> zákona prostřednictvím správce hřbitova.</w:t>
      </w:r>
    </w:p>
    <w:p w:rsidR="006B1026" w:rsidRDefault="00EA2101" w:rsidP="00B53C7A">
      <w:pPr>
        <w:pStyle w:val="Standard"/>
        <w:widowControl w:val="0"/>
        <w:numPr>
          <w:ilvl w:val="0"/>
          <w:numId w:val="3"/>
        </w:numPr>
        <w:autoSpaceDE w:val="0"/>
        <w:jc w:val="both"/>
      </w:pPr>
      <w:r>
        <w:t>Zvláštní prostor na pohřebišti „Společný hrob“ je vyhrazen pro ukládání lidských pozůstatků a zpopelněných lidských ostatků, ke kterým se nehlásí nikdo z blízkých.</w:t>
      </w:r>
    </w:p>
    <w:p w:rsidR="006B1026" w:rsidRDefault="006B1026">
      <w:pPr>
        <w:pStyle w:val="Standard"/>
        <w:widowControl w:val="0"/>
        <w:autoSpaceDE w:val="0"/>
        <w:jc w:val="both"/>
      </w:pPr>
    </w:p>
    <w:p w:rsidR="006B1026" w:rsidRDefault="00EA2101">
      <w:pPr>
        <w:pStyle w:val="Standard"/>
        <w:widowControl w:val="0"/>
        <w:autoSpaceDE w:val="0"/>
        <w:jc w:val="center"/>
        <w:rPr>
          <w:b/>
          <w:bCs/>
        </w:rPr>
      </w:pPr>
      <w:r>
        <w:rPr>
          <w:b/>
          <w:bCs/>
        </w:rPr>
        <w:t>Článek II</w:t>
      </w:r>
    </w:p>
    <w:p w:rsidR="006B1026" w:rsidRPr="00B53C7A" w:rsidRDefault="00EA2101">
      <w:pPr>
        <w:pStyle w:val="Standard"/>
        <w:widowControl w:val="0"/>
        <w:autoSpaceDE w:val="0"/>
        <w:jc w:val="center"/>
        <w:rPr>
          <w:b/>
        </w:rPr>
      </w:pPr>
      <w:r w:rsidRPr="00B53C7A">
        <w:rPr>
          <w:b/>
        </w:rPr>
        <w:t>Provozní doba pohřebiště</w:t>
      </w:r>
    </w:p>
    <w:p w:rsidR="006B1026" w:rsidRDefault="006B1026">
      <w:pPr>
        <w:pStyle w:val="Standard"/>
        <w:widowControl w:val="0"/>
        <w:autoSpaceDE w:val="0"/>
        <w:jc w:val="center"/>
        <w:rPr>
          <w:u w:val="single"/>
        </w:rPr>
      </w:pPr>
    </w:p>
    <w:p w:rsidR="006B1026" w:rsidRDefault="00EA2101">
      <w:pPr>
        <w:pStyle w:val="Standard"/>
        <w:widowControl w:val="0"/>
        <w:autoSpaceDE w:val="0"/>
        <w:jc w:val="both"/>
      </w:pPr>
      <w:r>
        <w:t>Provozní doba, v jejímž průběhu je pohřebiště zpřístupněno veřejnosti, se stanoví takto:</w:t>
      </w:r>
    </w:p>
    <w:p w:rsidR="006B1026" w:rsidRDefault="00EA2101">
      <w:pPr>
        <w:pStyle w:val="Standard"/>
        <w:widowControl w:val="0"/>
        <w:autoSpaceDE w:val="0"/>
        <w:jc w:val="both"/>
      </w:pPr>
      <w:r>
        <w:t xml:space="preserve">leden, </w:t>
      </w:r>
      <w:proofErr w:type="gramStart"/>
      <w:r>
        <w:t xml:space="preserve">únor,  .................................................................................   </w:t>
      </w:r>
      <w:r>
        <w:tab/>
        <w:t>8.00</w:t>
      </w:r>
      <w:proofErr w:type="gramEnd"/>
      <w:r>
        <w:t xml:space="preserve"> – 17.00 hod.</w:t>
      </w:r>
    </w:p>
    <w:p w:rsidR="006B1026" w:rsidRDefault="00EA2101">
      <w:pPr>
        <w:pStyle w:val="Standard"/>
        <w:widowControl w:val="0"/>
        <w:autoSpaceDE w:val="0"/>
        <w:jc w:val="both"/>
      </w:pPr>
      <w:r>
        <w:t xml:space="preserve">březen až </w:t>
      </w:r>
      <w:proofErr w:type="gramStart"/>
      <w:r>
        <w:t xml:space="preserve">říjen ............................................................................. </w:t>
      </w:r>
      <w:r>
        <w:tab/>
        <w:t>8.00</w:t>
      </w:r>
      <w:proofErr w:type="gramEnd"/>
      <w:r>
        <w:t xml:space="preserve"> – 19.00 hod</w:t>
      </w:r>
    </w:p>
    <w:p w:rsidR="006B1026" w:rsidRDefault="00EA2101">
      <w:pPr>
        <w:pStyle w:val="Standard"/>
        <w:widowControl w:val="0"/>
        <w:autoSpaceDE w:val="0"/>
        <w:jc w:val="both"/>
      </w:pPr>
      <w:r>
        <w:t xml:space="preserve">listopad, </w:t>
      </w:r>
      <w:proofErr w:type="gramStart"/>
      <w:r>
        <w:t>prosinec .........................................................................</w:t>
      </w:r>
      <w:r>
        <w:tab/>
        <w:t>8.00</w:t>
      </w:r>
      <w:proofErr w:type="gramEnd"/>
      <w:r>
        <w:t xml:space="preserve"> – 17.00 hod.</w:t>
      </w:r>
    </w:p>
    <w:p w:rsidR="006B1026" w:rsidRDefault="00EA2101">
      <w:pPr>
        <w:pStyle w:val="Standard"/>
        <w:widowControl w:val="0"/>
        <w:autoSpaceDE w:val="0"/>
        <w:jc w:val="both"/>
      </w:pPr>
      <w:r>
        <w:t xml:space="preserve">2. 11. Památka zesnulých, vč. předcházející soboty a </w:t>
      </w:r>
      <w:proofErr w:type="gramStart"/>
      <w:r>
        <w:t>neděle .......... 8.00</w:t>
      </w:r>
      <w:proofErr w:type="gramEnd"/>
      <w:r>
        <w:t xml:space="preserve"> – 19.00 hod.</w:t>
      </w:r>
    </w:p>
    <w:p w:rsidR="006B1026" w:rsidRDefault="006B1026">
      <w:pPr>
        <w:pStyle w:val="Standard"/>
        <w:widowControl w:val="0"/>
        <w:autoSpaceDE w:val="0"/>
        <w:jc w:val="both"/>
      </w:pPr>
    </w:p>
    <w:p w:rsidR="006B1026" w:rsidRDefault="00EA2101">
      <w:pPr>
        <w:pStyle w:val="Standard"/>
        <w:widowControl w:val="0"/>
        <w:autoSpaceDE w:val="0"/>
        <w:jc w:val="both"/>
      </w:pPr>
      <w:r>
        <w:t xml:space="preserve">Správce pohřebiště může z oprávněných důvodů přístup veřejnosti na pohřebiště nebo jeho část dočasně omezit nebo zakázat (např. v době provádění terénních úprav, za sněhu, </w:t>
      </w:r>
      <w:proofErr w:type="gramStart"/>
      <w:r>
        <w:t>náledí a pod.) pokud</w:t>
      </w:r>
      <w:proofErr w:type="gramEnd"/>
      <w:r>
        <w:t xml:space="preserve"> nelze zajistit bezpečnost návštěvníků.</w:t>
      </w:r>
    </w:p>
    <w:p w:rsidR="006B1026" w:rsidRDefault="006B1026">
      <w:pPr>
        <w:pStyle w:val="Standard"/>
        <w:widowControl w:val="0"/>
        <w:autoSpaceDE w:val="0"/>
        <w:jc w:val="both"/>
      </w:pPr>
    </w:p>
    <w:p w:rsidR="006B1026" w:rsidRDefault="00EA2101">
      <w:pPr>
        <w:pStyle w:val="Standard"/>
        <w:widowControl w:val="0"/>
        <w:autoSpaceDE w:val="0"/>
        <w:jc w:val="center"/>
        <w:rPr>
          <w:b/>
          <w:bCs/>
        </w:rPr>
      </w:pPr>
      <w:r>
        <w:rPr>
          <w:b/>
          <w:bCs/>
        </w:rPr>
        <w:t>Článek III</w:t>
      </w:r>
    </w:p>
    <w:p w:rsidR="006B1026" w:rsidRPr="006925E4" w:rsidRDefault="00EA2101">
      <w:pPr>
        <w:pStyle w:val="Standard"/>
        <w:widowControl w:val="0"/>
        <w:autoSpaceDE w:val="0"/>
        <w:jc w:val="center"/>
        <w:rPr>
          <w:b/>
        </w:rPr>
      </w:pPr>
      <w:r w:rsidRPr="006925E4">
        <w:rPr>
          <w:b/>
        </w:rPr>
        <w:t>Rozsah služeb poskytovaných na pohřebišti</w:t>
      </w:r>
    </w:p>
    <w:p w:rsidR="006B1026" w:rsidRDefault="006B1026">
      <w:pPr>
        <w:pStyle w:val="Standard"/>
        <w:widowControl w:val="0"/>
        <w:autoSpaceDE w:val="0"/>
        <w:jc w:val="both"/>
      </w:pPr>
    </w:p>
    <w:p w:rsidR="006B1026" w:rsidRDefault="00EA2101" w:rsidP="006925E4">
      <w:pPr>
        <w:pStyle w:val="Standard"/>
        <w:widowControl w:val="0"/>
        <w:numPr>
          <w:ilvl w:val="0"/>
          <w:numId w:val="4"/>
        </w:numPr>
        <w:autoSpaceDE w:val="0"/>
        <w:jc w:val="both"/>
      </w:pPr>
      <w:r>
        <w:t xml:space="preserve">ukládání zpopelněných lidských pozůstatků do země nebo do </w:t>
      </w:r>
      <w:proofErr w:type="spellStart"/>
      <w:r>
        <w:t>kolumbárních</w:t>
      </w:r>
      <w:proofErr w:type="spellEnd"/>
      <w:r>
        <w:t xml:space="preserve"> schránek, ukládání zpopelněných ostatků v urnách se neprovádí v období prosinec - březen</w:t>
      </w:r>
    </w:p>
    <w:p w:rsidR="006B1026" w:rsidRPr="006925E4" w:rsidRDefault="00EA2101" w:rsidP="006925E4">
      <w:pPr>
        <w:pStyle w:val="Standard"/>
        <w:widowControl w:val="0"/>
        <w:numPr>
          <w:ilvl w:val="0"/>
          <w:numId w:val="4"/>
        </w:numPr>
        <w:autoSpaceDE w:val="0"/>
        <w:jc w:val="both"/>
      </w:pPr>
      <w:r w:rsidRPr="006925E4">
        <w:rPr>
          <w:bCs/>
        </w:rPr>
        <w:t xml:space="preserve">rozptyl zpopelněných lidských pozůstatků může být proveden pouze na rozptylové louce, a </w:t>
      </w:r>
      <w:r w:rsidRPr="006925E4">
        <w:rPr>
          <w:bCs/>
        </w:rPr>
        <w:lastRenderedPageBreak/>
        <w:t>neprovádí se v období listopad – duben</w:t>
      </w:r>
    </w:p>
    <w:p w:rsidR="006B1026" w:rsidRPr="006925E4" w:rsidRDefault="00EA2101" w:rsidP="006925E4">
      <w:pPr>
        <w:pStyle w:val="Standard"/>
        <w:widowControl w:val="0"/>
        <w:numPr>
          <w:ilvl w:val="0"/>
          <w:numId w:val="4"/>
        </w:numPr>
        <w:autoSpaceDE w:val="0"/>
        <w:jc w:val="both"/>
      </w:pPr>
      <w:r w:rsidRPr="006925E4">
        <w:rPr>
          <w:bCs/>
        </w:rPr>
        <w:t>pronájem hrobových míst</w:t>
      </w:r>
    </w:p>
    <w:p w:rsidR="006B1026" w:rsidRPr="006925E4" w:rsidRDefault="00EA2101" w:rsidP="006925E4">
      <w:pPr>
        <w:pStyle w:val="Standard"/>
        <w:widowControl w:val="0"/>
        <w:numPr>
          <w:ilvl w:val="0"/>
          <w:numId w:val="4"/>
        </w:numPr>
        <w:autoSpaceDE w:val="0"/>
        <w:jc w:val="both"/>
      </w:pPr>
      <w:r w:rsidRPr="006925E4">
        <w:rPr>
          <w:bCs/>
        </w:rPr>
        <w:t>vedení související evidence o hrobových místech a o uložení lidských ostatků</w:t>
      </w:r>
    </w:p>
    <w:p w:rsidR="006B1026" w:rsidRDefault="00EA2101" w:rsidP="006925E4">
      <w:pPr>
        <w:pStyle w:val="Standard"/>
        <w:widowControl w:val="0"/>
        <w:numPr>
          <w:ilvl w:val="0"/>
          <w:numId w:val="4"/>
        </w:numPr>
        <w:autoSpaceDE w:val="0"/>
        <w:jc w:val="both"/>
      </w:pPr>
      <w:r>
        <w:t>správa a údržba pohřebiště včetně komunikací a okolní zeleně v areálu pohřebiště.</w:t>
      </w:r>
    </w:p>
    <w:p w:rsidR="006B1026" w:rsidRDefault="006B1026">
      <w:pPr>
        <w:pStyle w:val="Standard"/>
        <w:widowControl w:val="0"/>
        <w:autoSpaceDE w:val="0"/>
        <w:jc w:val="both"/>
      </w:pPr>
    </w:p>
    <w:p w:rsidR="006B1026" w:rsidRDefault="00EA2101">
      <w:pPr>
        <w:pStyle w:val="Standard"/>
        <w:widowControl w:val="0"/>
        <w:autoSpaceDE w:val="0"/>
        <w:jc w:val="center"/>
        <w:rPr>
          <w:b/>
          <w:bCs/>
        </w:rPr>
      </w:pPr>
      <w:r>
        <w:rPr>
          <w:b/>
          <w:bCs/>
        </w:rPr>
        <w:t>Článek IV</w:t>
      </w:r>
    </w:p>
    <w:p w:rsidR="006B1026" w:rsidRPr="006925E4" w:rsidRDefault="00EA2101">
      <w:pPr>
        <w:pStyle w:val="Standard"/>
        <w:widowControl w:val="0"/>
        <w:autoSpaceDE w:val="0"/>
        <w:jc w:val="center"/>
        <w:rPr>
          <w:b/>
        </w:rPr>
      </w:pPr>
      <w:r w:rsidRPr="006925E4">
        <w:rPr>
          <w:b/>
        </w:rPr>
        <w:t>Povinnosti návštěvníků, pořádek na pohřebišti</w:t>
      </w:r>
    </w:p>
    <w:p w:rsidR="006B1026" w:rsidRDefault="006B1026">
      <w:pPr>
        <w:pStyle w:val="Standard"/>
        <w:widowControl w:val="0"/>
        <w:autoSpaceDE w:val="0"/>
        <w:jc w:val="center"/>
        <w:rPr>
          <w:u w:val="single"/>
        </w:rPr>
      </w:pPr>
    </w:p>
    <w:p w:rsidR="006B1026" w:rsidRDefault="00EA2101" w:rsidP="00543B38">
      <w:pPr>
        <w:pStyle w:val="Standard"/>
        <w:widowControl w:val="0"/>
        <w:numPr>
          <w:ilvl w:val="0"/>
          <w:numId w:val="5"/>
        </w:numPr>
        <w:autoSpaceDE w:val="0"/>
        <w:jc w:val="both"/>
      </w:pPr>
      <w:r>
        <w:t>Návštěvníci pohřebiště jsou povinni zdržet se takového jednání, které by se dotýkalo důstojnosti zemřelých nebo mravního cítění pozůstalých a veřejnosti, zejména chovat se hlučně,</w:t>
      </w:r>
      <w:r w:rsidR="00543B38">
        <w:t xml:space="preserve"> </w:t>
      </w:r>
      <w:r>
        <w:t>pouštět přenosné nosiče zvuku, požívat alkoholické nápoje, omamné a psychotropní látky, odhazovat odpadky mimo nádoby k tomu určených a používat prostory pohřebiště a jeho vybavení k jiným účelům, jež k jakým jsou určeny.</w:t>
      </w:r>
    </w:p>
    <w:p w:rsidR="006B1026" w:rsidRDefault="00EA2101" w:rsidP="00543B38">
      <w:pPr>
        <w:pStyle w:val="Standard"/>
        <w:widowControl w:val="0"/>
        <w:numPr>
          <w:ilvl w:val="0"/>
          <w:numId w:val="5"/>
        </w:numPr>
        <w:autoSpaceDE w:val="0"/>
        <w:jc w:val="both"/>
      </w:pPr>
      <w:r>
        <w:t>Na pohřebišti je možné se zdržovat pouze v provozní době pohřebiště stanovené v článku II tohoto řádu.</w:t>
      </w:r>
    </w:p>
    <w:p w:rsidR="006B1026" w:rsidRDefault="00EA2101" w:rsidP="00543B38">
      <w:pPr>
        <w:pStyle w:val="Standard"/>
        <w:widowControl w:val="0"/>
        <w:numPr>
          <w:ilvl w:val="0"/>
          <w:numId w:val="5"/>
        </w:numPr>
        <w:autoSpaceDE w:val="0"/>
        <w:jc w:val="both"/>
      </w:pPr>
      <w:r>
        <w:t>Každý návštěvník je povinen do stanovené uzavírací hodiny bez zvláštního upozornění pohřebiště opustit. Návštěvníka pohřebiště, který záměrně setrvává na pohřebišti po uzavření hřbitova, přestože byl na tuto okolnost upozorněn, je správce pohřebiště oprávněn předat bezpečnostním orgánům.</w:t>
      </w:r>
    </w:p>
    <w:p w:rsidR="006B1026" w:rsidRDefault="00EA2101" w:rsidP="00543B38">
      <w:pPr>
        <w:pStyle w:val="Standard"/>
        <w:widowControl w:val="0"/>
        <w:numPr>
          <w:ilvl w:val="0"/>
          <w:numId w:val="5"/>
        </w:numPr>
        <w:autoSpaceDE w:val="0"/>
        <w:jc w:val="both"/>
      </w:pPr>
      <w:r>
        <w:t>Na pohřebiště je zakázán přístup podnapilým osobám a osobám se psy, kočkami a jinými zvířaty. Děti do 10 let mají na pohřebiště přístup pouze v doprovodu dospělé osoby.</w:t>
      </w:r>
    </w:p>
    <w:p w:rsidR="006B1026" w:rsidRDefault="00EA2101" w:rsidP="00543B38">
      <w:pPr>
        <w:pStyle w:val="Standard"/>
        <w:widowControl w:val="0"/>
        <w:numPr>
          <w:ilvl w:val="0"/>
          <w:numId w:val="5"/>
        </w:numPr>
        <w:autoSpaceDE w:val="0"/>
        <w:jc w:val="both"/>
      </w:pPr>
      <w:r>
        <w:t>Na pohřebišti je zakázáno jezdit na jízdních kolech, koloběžkách, skateboardech a kolečkových bruslích.</w:t>
      </w:r>
    </w:p>
    <w:p w:rsidR="006B1026" w:rsidRDefault="00EA2101" w:rsidP="00543B38">
      <w:pPr>
        <w:pStyle w:val="Standard"/>
        <w:widowControl w:val="0"/>
        <w:numPr>
          <w:ilvl w:val="0"/>
          <w:numId w:val="5"/>
        </w:numPr>
        <w:autoSpaceDE w:val="0"/>
        <w:jc w:val="both"/>
      </w:pPr>
      <w:r>
        <w:t>Vozidla (s výjimkou invalidních vozíků) mohou na pohřebiště vjíždět pouze se souhlasem správce pohřebiště a při splnění jím stanovených podmínek. Vozidla jsou vpouštěna nejpozději 1 hodinu před ukončením stanovené provozní doby pohřebiště a současně musí vozidlo pohřebiště opustit nejpozději 30 minut před ukončením této doby. Chodci mají vždy přednost před vozidly.</w:t>
      </w:r>
    </w:p>
    <w:p w:rsidR="006B1026" w:rsidRDefault="00EA2101" w:rsidP="00543B38">
      <w:pPr>
        <w:pStyle w:val="Standard"/>
        <w:widowControl w:val="0"/>
        <w:numPr>
          <w:ilvl w:val="0"/>
          <w:numId w:val="5"/>
        </w:numPr>
        <w:autoSpaceDE w:val="0"/>
        <w:jc w:val="both"/>
      </w:pPr>
      <w:r>
        <w:t>Ukládání nádob, nářadí a jiných předmětů na místa kolem hrobových míst není dovoleno.</w:t>
      </w:r>
    </w:p>
    <w:p w:rsidR="006B1026" w:rsidRDefault="00EA2101" w:rsidP="00543B38">
      <w:pPr>
        <w:pStyle w:val="Standard"/>
        <w:widowControl w:val="0"/>
        <w:numPr>
          <w:ilvl w:val="0"/>
          <w:numId w:val="5"/>
        </w:numPr>
        <w:autoSpaceDE w:val="0"/>
        <w:jc w:val="both"/>
      </w:pPr>
      <w:r>
        <w:t>Svítilny a svíčky je možno na pohřebišti rozsvěcovat pouze tehdy, pokud jsou vhodným způsobem zabezpečeny proti vzniku požáru. V odůvodněných případech může správce pohřebiště používání otevřeného ohně (svíček apod.) omezit nebo zakázat.</w:t>
      </w:r>
    </w:p>
    <w:p w:rsidR="006B1026" w:rsidRDefault="00EA2101" w:rsidP="00543B38">
      <w:pPr>
        <w:pStyle w:val="Standard"/>
        <w:widowControl w:val="0"/>
        <w:numPr>
          <w:ilvl w:val="0"/>
          <w:numId w:val="5"/>
        </w:numPr>
        <w:autoSpaceDE w:val="0"/>
        <w:jc w:val="both"/>
      </w:pPr>
      <w:r>
        <w:t>Odpad je třeba odkládat na stanovená místa.</w:t>
      </w:r>
    </w:p>
    <w:p w:rsidR="006B1026" w:rsidRDefault="00EA2101" w:rsidP="00543B38">
      <w:pPr>
        <w:pStyle w:val="Standard"/>
        <w:widowControl w:val="0"/>
        <w:numPr>
          <w:ilvl w:val="0"/>
          <w:numId w:val="5"/>
        </w:numPr>
        <w:autoSpaceDE w:val="0"/>
        <w:jc w:val="both"/>
      </w:pPr>
      <w:r>
        <w:t>Návštěvníci nejsou oprávněni provádět jakékoli zásahy do zeleně vysazené správcem pohřebiště, včetně nové výsadby zeleně, bez jeho souhlasu.</w:t>
      </w:r>
    </w:p>
    <w:p w:rsidR="006B1026" w:rsidRPr="00543B38" w:rsidRDefault="00EA2101" w:rsidP="00543B38">
      <w:pPr>
        <w:pStyle w:val="Standard"/>
        <w:widowControl w:val="0"/>
        <w:numPr>
          <w:ilvl w:val="0"/>
          <w:numId w:val="5"/>
        </w:numPr>
        <w:autoSpaceDE w:val="0"/>
        <w:jc w:val="both"/>
      </w:pPr>
      <w:r w:rsidRPr="00543B38">
        <w:rPr>
          <w:bCs/>
        </w:rPr>
        <w:t>Vstup na rozptylové loučky je pro veřejnost zakázán. Na rozptylové loučce je dovoleno používat svítidel a pokládat květinovou výzdobu pouze na vyhrazených plochách. Správce pohřebiště je oprávněn zvadlé nebo jinak znehodnocené květinové dary, příp. jiné předměty, z těchto ploch odstranit.</w:t>
      </w:r>
    </w:p>
    <w:p w:rsidR="006B1026" w:rsidRPr="00543B38" w:rsidRDefault="00EA2101" w:rsidP="00543B38">
      <w:pPr>
        <w:pStyle w:val="Standard"/>
        <w:widowControl w:val="0"/>
        <w:numPr>
          <w:ilvl w:val="0"/>
          <w:numId w:val="5"/>
        </w:numPr>
        <w:autoSpaceDE w:val="0"/>
        <w:jc w:val="both"/>
      </w:pPr>
      <w:r w:rsidRPr="00543B38">
        <w:rPr>
          <w:bCs/>
        </w:rPr>
        <w:t>Na pohřebišti je povoleno provádět jakékoli práce pouze v takovém rozsahu a takovým způsobem, který stanový tento řád a je třeba dodržovat podmínky dohodnuté se správcem pohřebiště, zejména</w:t>
      </w:r>
    </w:p>
    <w:p w:rsidR="006B1026" w:rsidRPr="001128C4" w:rsidRDefault="00EA2101" w:rsidP="00543B38">
      <w:pPr>
        <w:pStyle w:val="Standard"/>
        <w:widowControl w:val="0"/>
        <w:numPr>
          <w:ilvl w:val="0"/>
          <w:numId w:val="6"/>
        </w:numPr>
        <w:autoSpaceDE w:val="0"/>
        <w:jc w:val="both"/>
      </w:pPr>
      <w:r w:rsidRPr="00543B38">
        <w:rPr>
          <w:bCs/>
        </w:rPr>
        <w:t>respektování důstojnosti a místa a omezení hlučnosti prací</w:t>
      </w:r>
    </w:p>
    <w:p w:rsidR="006B1026" w:rsidRPr="001128C4" w:rsidRDefault="00EA2101" w:rsidP="001128C4">
      <w:pPr>
        <w:pStyle w:val="Standard"/>
        <w:widowControl w:val="0"/>
        <w:numPr>
          <w:ilvl w:val="0"/>
          <w:numId w:val="6"/>
        </w:numPr>
        <w:autoSpaceDE w:val="0"/>
        <w:jc w:val="both"/>
      </w:pPr>
      <w:r w:rsidRPr="001128C4">
        <w:rPr>
          <w:bCs/>
        </w:rPr>
        <w:t>neomezovat průchodnost komunikací a přístup k jednotlivým hrobovým místům</w:t>
      </w:r>
    </w:p>
    <w:p w:rsidR="006B1026" w:rsidRPr="001128C4" w:rsidRDefault="00EA2101" w:rsidP="001128C4">
      <w:pPr>
        <w:pStyle w:val="Standard"/>
        <w:widowControl w:val="0"/>
        <w:numPr>
          <w:ilvl w:val="0"/>
          <w:numId w:val="6"/>
        </w:numPr>
        <w:autoSpaceDE w:val="0"/>
        <w:jc w:val="both"/>
      </w:pPr>
      <w:r>
        <w:t>zajistit ochranu zeleně a jeho kořenový systém.</w:t>
      </w:r>
    </w:p>
    <w:p w:rsidR="006B1026" w:rsidRDefault="00EA2101" w:rsidP="001128C4">
      <w:pPr>
        <w:pStyle w:val="Standard"/>
        <w:widowControl w:val="0"/>
        <w:numPr>
          <w:ilvl w:val="0"/>
          <w:numId w:val="5"/>
        </w:numPr>
        <w:autoSpaceDE w:val="0"/>
        <w:jc w:val="both"/>
      </w:pPr>
      <w:r>
        <w:t>Lidské pozůstatky a zpopelněné lidské ostatky může ukládat na pohřebišti pouze správce pohřebiště, jiná osoba jen s jeho souhlasem.</w:t>
      </w:r>
    </w:p>
    <w:p w:rsidR="006B1026" w:rsidRPr="001128C4" w:rsidRDefault="00EA2101" w:rsidP="001128C4">
      <w:pPr>
        <w:pStyle w:val="Standard"/>
        <w:widowControl w:val="0"/>
        <w:numPr>
          <w:ilvl w:val="0"/>
          <w:numId w:val="5"/>
        </w:numPr>
        <w:autoSpaceDE w:val="0"/>
        <w:jc w:val="both"/>
        <w:rPr>
          <w:bCs/>
        </w:rPr>
      </w:pPr>
      <w:r>
        <w:t>Dozor nad pořádkem na pohřebišti provádí správce pohřebiště.</w:t>
      </w:r>
    </w:p>
    <w:p w:rsidR="006B1026" w:rsidRDefault="006B1026">
      <w:pPr>
        <w:pStyle w:val="Standard"/>
        <w:widowControl w:val="0"/>
        <w:autoSpaceDE w:val="0"/>
        <w:jc w:val="both"/>
        <w:rPr>
          <w:u w:val="single"/>
        </w:rPr>
      </w:pPr>
      <w:bookmarkStart w:id="0" w:name="_GoBack"/>
      <w:bookmarkEnd w:id="0"/>
    </w:p>
    <w:p w:rsidR="006B1026" w:rsidRDefault="00EA2101">
      <w:pPr>
        <w:pStyle w:val="Standard"/>
        <w:widowControl w:val="0"/>
        <w:autoSpaceDE w:val="0"/>
        <w:jc w:val="center"/>
        <w:rPr>
          <w:b/>
          <w:bCs/>
        </w:rPr>
      </w:pPr>
      <w:r>
        <w:rPr>
          <w:b/>
          <w:bCs/>
        </w:rPr>
        <w:lastRenderedPageBreak/>
        <w:t>Článek V</w:t>
      </w:r>
    </w:p>
    <w:p w:rsidR="006B1026" w:rsidRPr="001128C4" w:rsidRDefault="00EA2101">
      <w:pPr>
        <w:pStyle w:val="Standard"/>
        <w:widowControl w:val="0"/>
        <w:autoSpaceDE w:val="0"/>
        <w:jc w:val="center"/>
        <w:rPr>
          <w:b/>
        </w:rPr>
      </w:pPr>
      <w:r w:rsidRPr="001128C4">
        <w:rPr>
          <w:b/>
        </w:rPr>
        <w:t>Povinnosti provozovatele pohřebiště</w:t>
      </w:r>
    </w:p>
    <w:p w:rsidR="006B1026" w:rsidRDefault="006B1026">
      <w:pPr>
        <w:pStyle w:val="Standard"/>
        <w:widowControl w:val="0"/>
        <w:autoSpaceDE w:val="0"/>
        <w:jc w:val="both"/>
      </w:pPr>
    </w:p>
    <w:p w:rsidR="006B1026" w:rsidRDefault="00EA2101" w:rsidP="001128C4">
      <w:pPr>
        <w:pStyle w:val="Standard"/>
        <w:widowControl w:val="0"/>
        <w:numPr>
          <w:ilvl w:val="0"/>
          <w:numId w:val="7"/>
        </w:numPr>
        <w:autoSpaceDE w:val="0"/>
        <w:jc w:val="both"/>
      </w:pPr>
      <w:r>
        <w:t>Hrobová místa provozovatel zřizuje a připravuje k pronájmu tak, aby vznikly ucelené řady, skupiny hrobů stejného charakteru a rozměrů. Nikdo nemá nárok na individuální umístění mimo vymezený prostor.</w:t>
      </w:r>
    </w:p>
    <w:p w:rsidR="006B1026" w:rsidRDefault="00EA2101" w:rsidP="001128C4">
      <w:pPr>
        <w:pStyle w:val="Standard"/>
        <w:widowControl w:val="0"/>
        <w:numPr>
          <w:ilvl w:val="0"/>
          <w:numId w:val="7"/>
        </w:numPr>
        <w:autoSpaceDE w:val="0"/>
        <w:jc w:val="both"/>
      </w:pPr>
      <w:r>
        <w:t xml:space="preserve">Nájem hrobového místa vzniká na základě smlouvy o nájmu uzavřené mezi pronajímatelem a nájemcem. Smlouva musí mít písemnou formu a podmínky při vzniku nájmu musí být stejné pro všechny osoby. Smlouva o nájmu hrobového místa se uzavírá na dobu </w:t>
      </w:r>
      <w:proofErr w:type="gramStart"/>
      <w:r>
        <w:t>5ti</w:t>
      </w:r>
      <w:proofErr w:type="gramEnd"/>
      <w:r>
        <w:t xml:space="preserve"> let. Podnájem hrobového místa třetí osobě je zakázán.</w:t>
      </w:r>
    </w:p>
    <w:p w:rsidR="006B1026" w:rsidRDefault="00EA2101" w:rsidP="001128C4">
      <w:pPr>
        <w:pStyle w:val="Standard"/>
        <w:widowControl w:val="0"/>
        <w:numPr>
          <w:ilvl w:val="0"/>
          <w:numId w:val="7"/>
        </w:numPr>
        <w:autoSpaceDE w:val="0"/>
        <w:jc w:val="both"/>
      </w:pPr>
      <w:r>
        <w:t xml:space="preserve">Změna osoby nájemce před uplynutím doby nájmu je možná jen na písemnou žádost dosavadního nájemce. V případě úmrtí nájemce přechází </w:t>
      </w:r>
      <w:r w:rsidR="0093147D">
        <w:t>právo nájmu na osobu, kterou nájemce určil, popřípadě na svěřenecký fond určený nájemcem. Je-li nájemcem fyzická osoba a není-li přechod nájmu na určenou osobu možný, anebo neurčil-li nájemce nikoho, přechází právo nájmu na jeho manžela, není-li ho, pak na jejich děti. Není-li přechod práva nájmu na žádnou z těchto osob možný, přechází právo nájmu na dědice zemřelého.</w:t>
      </w:r>
    </w:p>
    <w:p w:rsidR="006B1026" w:rsidRDefault="00EA2101" w:rsidP="001128C4">
      <w:pPr>
        <w:pStyle w:val="Standard"/>
        <w:widowControl w:val="0"/>
        <w:numPr>
          <w:ilvl w:val="0"/>
          <w:numId w:val="7"/>
        </w:numPr>
        <w:autoSpaceDE w:val="0"/>
        <w:jc w:val="both"/>
      </w:pPr>
      <w:r>
        <w:t>Správce pohřebiště je povinen předat nájemci hrobového místa k užívání vyznačené, číselně označené hrobové místo.</w:t>
      </w:r>
    </w:p>
    <w:p w:rsidR="006B1026" w:rsidRDefault="00EA2101" w:rsidP="001128C4">
      <w:pPr>
        <w:pStyle w:val="Standard"/>
        <w:widowControl w:val="0"/>
        <w:numPr>
          <w:ilvl w:val="0"/>
          <w:numId w:val="7"/>
        </w:numPr>
        <w:autoSpaceDE w:val="0"/>
        <w:jc w:val="both"/>
      </w:pPr>
      <w:r>
        <w:t>Správce pohřebiště je povinen umožnit nájemci užívání jeho hrobového místa, zajistit přístup ke hrobovému místu a zdržet se jakýchkoli zásahů do hrobového místa nebo hrobového zařízení s výjimkou případů, kdy je nezbytné zajistit bezpečný a plynulý provoz pohřebiště (např. živelné pohromy), nebo kdy je třeba provést pohřbení do sousedního hrobu. V takovém případě je omezení přístupu ke hrobovému místu možné na nezbytně nutnou dobu. Dojde-li k zásahu do hrobového místa a vznikne-li škoda vinou správce pohřebiště, je správce pohřebiště povinen hrobové místo uvést do původního stavu.</w:t>
      </w:r>
    </w:p>
    <w:p w:rsidR="006B1026" w:rsidRDefault="00EA2101" w:rsidP="001128C4">
      <w:pPr>
        <w:pStyle w:val="Standard"/>
        <w:widowControl w:val="0"/>
        <w:numPr>
          <w:ilvl w:val="0"/>
          <w:numId w:val="7"/>
        </w:numPr>
        <w:autoSpaceDE w:val="0"/>
        <w:jc w:val="both"/>
      </w:pPr>
      <w:r>
        <w:t>U nově pronajímaných hrobových míst nezpopelněné lidské ostatky zůstávají v hrobovém místě a v případě pohřbívání jsou soustředěny a uloženy pod dno výkopu hrobu. V případě, že nový nájemce hrobového místa nechce mít původní nezpopelněné lidské ostatky v hrobě uložené, může je na vlastní náklady nechat exhumovat správcem pohřebiště a uložit do společného hrobu na pohřebišti</w:t>
      </w:r>
    </w:p>
    <w:p w:rsidR="006B1026" w:rsidRDefault="006B1026">
      <w:pPr>
        <w:pStyle w:val="Standard"/>
        <w:widowControl w:val="0"/>
        <w:autoSpaceDE w:val="0"/>
        <w:jc w:val="both"/>
      </w:pPr>
    </w:p>
    <w:p w:rsidR="006B1026" w:rsidRDefault="006B1026">
      <w:pPr>
        <w:pStyle w:val="Standard"/>
        <w:widowControl w:val="0"/>
        <w:autoSpaceDE w:val="0"/>
        <w:jc w:val="center"/>
        <w:rPr>
          <w:b/>
          <w:bCs/>
        </w:rPr>
      </w:pPr>
    </w:p>
    <w:p w:rsidR="006B1026" w:rsidRDefault="006B1026">
      <w:pPr>
        <w:pStyle w:val="Standard"/>
        <w:widowControl w:val="0"/>
        <w:autoSpaceDE w:val="0"/>
        <w:jc w:val="center"/>
        <w:rPr>
          <w:b/>
          <w:bCs/>
        </w:rPr>
      </w:pPr>
    </w:p>
    <w:p w:rsidR="006B1026" w:rsidRDefault="00EA2101">
      <w:pPr>
        <w:pStyle w:val="Standard"/>
        <w:widowControl w:val="0"/>
        <w:autoSpaceDE w:val="0"/>
        <w:jc w:val="center"/>
        <w:rPr>
          <w:b/>
          <w:bCs/>
        </w:rPr>
      </w:pPr>
      <w:r>
        <w:rPr>
          <w:b/>
          <w:bCs/>
        </w:rPr>
        <w:t>Článek VI</w:t>
      </w:r>
    </w:p>
    <w:p w:rsidR="006B1026" w:rsidRPr="001128C4" w:rsidRDefault="00EA2101">
      <w:pPr>
        <w:pStyle w:val="Standard"/>
        <w:widowControl w:val="0"/>
        <w:autoSpaceDE w:val="0"/>
        <w:jc w:val="center"/>
        <w:rPr>
          <w:b/>
        </w:rPr>
      </w:pPr>
      <w:r w:rsidRPr="001128C4">
        <w:rPr>
          <w:b/>
        </w:rPr>
        <w:t>Povinnosti nájemce hrobového místa</w:t>
      </w:r>
    </w:p>
    <w:p w:rsidR="006B1026" w:rsidRDefault="006B1026">
      <w:pPr>
        <w:pStyle w:val="Standard"/>
        <w:widowControl w:val="0"/>
        <w:autoSpaceDE w:val="0"/>
        <w:jc w:val="both"/>
      </w:pPr>
    </w:p>
    <w:p w:rsidR="006B1026" w:rsidRDefault="00EA2101">
      <w:pPr>
        <w:pStyle w:val="Standard"/>
        <w:widowControl w:val="0"/>
        <w:autoSpaceDE w:val="0"/>
        <w:jc w:val="both"/>
      </w:pPr>
      <w:r>
        <w:t>Nájemce hrobového místa je povinen:</w:t>
      </w:r>
    </w:p>
    <w:p w:rsidR="006B1026" w:rsidRDefault="006B1026">
      <w:pPr>
        <w:pStyle w:val="Standard"/>
        <w:widowControl w:val="0"/>
        <w:autoSpaceDE w:val="0"/>
        <w:jc w:val="both"/>
      </w:pPr>
    </w:p>
    <w:p w:rsidR="006B1026" w:rsidRDefault="00EA2101" w:rsidP="001128C4">
      <w:pPr>
        <w:pStyle w:val="Standard"/>
        <w:widowControl w:val="0"/>
        <w:numPr>
          <w:ilvl w:val="0"/>
          <w:numId w:val="8"/>
        </w:numPr>
        <w:autoSpaceDE w:val="0"/>
        <w:jc w:val="both"/>
      </w:pPr>
      <w:r>
        <w:t>Hrobové zařízení zřídit se souhlasem správce pohřebiště a při provádění prací se řídit jeho pokyny.</w:t>
      </w:r>
    </w:p>
    <w:p w:rsidR="006B1026" w:rsidRDefault="00EA2101" w:rsidP="001128C4">
      <w:pPr>
        <w:pStyle w:val="Standard"/>
        <w:widowControl w:val="0"/>
        <w:numPr>
          <w:ilvl w:val="0"/>
          <w:numId w:val="8"/>
        </w:numPr>
        <w:autoSpaceDE w:val="0"/>
        <w:jc w:val="both"/>
      </w:pPr>
      <w:r>
        <w:t>Nájemce hrobového místa je povinen provádět údržbu pronajatého hrobového místa:</w:t>
      </w:r>
    </w:p>
    <w:p w:rsidR="006B1026" w:rsidRDefault="00EA2101" w:rsidP="00BA7211">
      <w:pPr>
        <w:pStyle w:val="Standard"/>
        <w:widowControl w:val="0"/>
        <w:numPr>
          <w:ilvl w:val="0"/>
          <w:numId w:val="11"/>
        </w:numPr>
        <w:autoSpaceDE w:val="0"/>
        <w:jc w:val="both"/>
      </w:pPr>
      <w:r>
        <w:t>zajistit, aby plocha hrobového místa nezarůstala nevhodným porostem a průběžně zajišťovat údržbu hrobového místa na vlastní náklady tak, aby jejich stav nebránil užívání sousedních nájemců,</w:t>
      </w:r>
    </w:p>
    <w:p w:rsidR="006B1026" w:rsidRDefault="00EA2101" w:rsidP="00BA7211">
      <w:pPr>
        <w:pStyle w:val="Standard"/>
        <w:widowControl w:val="0"/>
        <w:numPr>
          <w:ilvl w:val="0"/>
          <w:numId w:val="11"/>
        </w:numPr>
        <w:autoSpaceDE w:val="0"/>
        <w:jc w:val="both"/>
      </w:pPr>
      <w:r>
        <w:t>nejpozději do 3 měsíců od pohřbení do hrobu zajistit úpravu plochy hrobového místa,</w:t>
      </w:r>
    </w:p>
    <w:p w:rsidR="006B1026" w:rsidRDefault="00EA2101" w:rsidP="00BA7211">
      <w:pPr>
        <w:pStyle w:val="Standard"/>
        <w:widowControl w:val="0"/>
        <w:numPr>
          <w:ilvl w:val="0"/>
          <w:numId w:val="11"/>
        </w:numPr>
        <w:autoSpaceDE w:val="0"/>
        <w:jc w:val="both"/>
      </w:pPr>
      <w:r>
        <w:t>neprodleně zajistit opravu hrobového zařízení, pokud je narušena jeho stabilita a ohrožuje tak zdraví, životy nebo majetek dalších osob. Pokud tak nájemce neučiní, je správce pohřebiště oprávněn zajistit bezpečnost na náklady a riziko nájemce hrobového místa,</w:t>
      </w:r>
    </w:p>
    <w:p w:rsidR="006B1026" w:rsidRDefault="00EA2101" w:rsidP="00BA7211">
      <w:pPr>
        <w:pStyle w:val="Standard"/>
        <w:widowControl w:val="0"/>
        <w:numPr>
          <w:ilvl w:val="0"/>
          <w:numId w:val="11"/>
        </w:numPr>
        <w:autoSpaceDE w:val="0"/>
        <w:jc w:val="both"/>
      </w:pPr>
      <w:r>
        <w:t xml:space="preserve">odstranit znehodnocené květinové a jiné dary, odpad z vyhořelých svíček a další předměty, </w:t>
      </w:r>
      <w:r>
        <w:lastRenderedPageBreak/>
        <w:t>které narušují estetický vzhled pohřebiště, a odkládat je do nádob k tomu určených,</w:t>
      </w:r>
    </w:p>
    <w:p w:rsidR="006B1026" w:rsidRDefault="00EA2101" w:rsidP="00BA7211">
      <w:pPr>
        <w:pStyle w:val="Standard"/>
        <w:widowControl w:val="0"/>
        <w:numPr>
          <w:ilvl w:val="0"/>
          <w:numId w:val="11"/>
        </w:numPr>
        <w:autoSpaceDE w:val="0"/>
        <w:jc w:val="both"/>
      </w:pPr>
      <w:r>
        <w:t>do veřejné zeleně na pohřebišti zasahovat pouze se souhlasem správce pohřebiště, který stanoví podmínky výsadby a regulace veřejné zeleně.</w:t>
      </w:r>
    </w:p>
    <w:p w:rsidR="006B1026" w:rsidRDefault="00EA2101" w:rsidP="008F1B17">
      <w:pPr>
        <w:pStyle w:val="Standard"/>
        <w:widowControl w:val="0"/>
        <w:numPr>
          <w:ilvl w:val="0"/>
          <w:numId w:val="8"/>
        </w:numPr>
        <w:autoSpaceDE w:val="0"/>
        <w:jc w:val="both"/>
      </w:pPr>
      <w:r>
        <w:t>Zajistit na vlastní náklady, nejpozději do dne ukončení nájmu hrobového místa, odstranění hrobového zařízení včetně uren.</w:t>
      </w:r>
    </w:p>
    <w:p w:rsidR="006B1026" w:rsidRDefault="00EA2101" w:rsidP="008F1B17">
      <w:pPr>
        <w:pStyle w:val="Standard"/>
        <w:widowControl w:val="0"/>
        <w:numPr>
          <w:ilvl w:val="0"/>
          <w:numId w:val="8"/>
        </w:numPr>
        <w:autoSpaceDE w:val="0"/>
        <w:jc w:val="both"/>
      </w:pPr>
      <w:r>
        <w:t>Oznamovat správci pohřebiště veškeré změny údajů, potřebných pro vedení evidence pohřebiště v souladu s § 21 zákona.</w:t>
      </w:r>
    </w:p>
    <w:p w:rsidR="006B1026" w:rsidRDefault="00EA2101" w:rsidP="008F1B17">
      <w:pPr>
        <w:pStyle w:val="Standard"/>
        <w:widowControl w:val="0"/>
        <w:numPr>
          <w:ilvl w:val="0"/>
          <w:numId w:val="8"/>
        </w:numPr>
        <w:autoSpaceDE w:val="0"/>
        <w:jc w:val="both"/>
      </w:pPr>
      <w:r>
        <w:t>Respektovat číselné označení hrobových míst provedené správcem pohřebiště způsobem obvyklým na tomto pohřebišti.</w:t>
      </w:r>
    </w:p>
    <w:p w:rsidR="006B1026" w:rsidRDefault="00EA2101" w:rsidP="008F1B17">
      <w:pPr>
        <w:pStyle w:val="Standard"/>
        <w:widowControl w:val="0"/>
        <w:numPr>
          <w:ilvl w:val="0"/>
          <w:numId w:val="8"/>
        </w:numPr>
        <w:autoSpaceDE w:val="0"/>
        <w:jc w:val="both"/>
      </w:pPr>
      <w:r>
        <w:t>Ke zřízení jakékoliv stavby na pohřebišti nebo k její úpravě je třeba předchozího souhlasu správce pohřebiště. Stavebník (nájemce) provádí veškeré stavby a jejich úpravy na vlastní náklady a nebezpečí a je povinen udržovat je v řádném stavu. Okamžitě po ukončení prací je stavebník (nájemce) povinen postarat se na svůj náklad o vyčištění okolí, odklizení zbylého materiálu a uvedení všeho dotčeného do řádného stavu.</w:t>
      </w:r>
    </w:p>
    <w:p w:rsidR="006B1026" w:rsidRDefault="006B1026">
      <w:pPr>
        <w:pStyle w:val="Standard"/>
        <w:widowControl w:val="0"/>
        <w:autoSpaceDE w:val="0"/>
        <w:jc w:val="both"/>
      </w:pPr>
    </w:p>
    <w:p w:rsidR="006B1026" w:rsidRDefault="006B1026">
      <w:pPr>
        <w:pStyle w:val="Standard"/>
        <w:widowControl w:val="0"/>
        <w:autoSpaceDE w:val="0"/>
        <w:jc w:val="both"/>
      </w:pPr>
    </w:p>
    <w:p w:rsidR="00903322" w:rsidRDefault="00903322">
      <w:pPr>
        <w:pStyle w:val="Standard"/>
        <w:widowControl w:val="0"/>
        <w:autoSpaceDE w:val="0"/>
        <w:jc w:val="both"/>
      </w:pPr>
    </w:p>
    <w:p w:rsidR="0093147D" w:rsidRDefault="0093147D">
      <w:pPr>
        <w:pStyle w:val="Standard"/>
        <w:widowControl w:val="0"/>
        <w:autoSpaceDE w:val="0"/>
        <w:jc w:val="center"/>
        <w:rPr>
          <w:b/>
          <w:bCs/>
        </w:rPr>
      </w:pPr>
      <w:r>
        <w:rPr>
          <w:b/>
          <w:bCs/>
        </w:rPr>
        <w:t>Článek VII</w:t>
      </w:r>
    </w:p>
    <w:p w:rsidR="0093147D" w:rsidRDefault="0093147D">
      <w:pPr>
        <w:pStyle w:val="Standard"/>
        <w:widowControl w:val="0"/>
        <w:autoSpaceDE w:val="0"/>
        <w:jc w:val="center"/>
        <w:rPr>
          <w:b/>
          <w:bCs/>
        </w:rPr>
      </w:pPr>
      <w:r>
        <w:rPr>
          <w:b/>
          <w:bCs/>
        </w:rPr>
        <w:t>Podmínky pro otevření hrobu, exhumace lidských ostatků</w:t>
      </w:r>
    </w:p>
    <w:p w:rsidR="00575F69" w:rsidRDefault="00575F69" w:rsidP="00575F69">
      <w:pPr>
        <w:pStyle w:val="Standard"/>
        <w:widowControl w:val="0"/>
        <w:autoSpaceDE w:val="0"/>
        <w:jc w:val="both"/>
        <w:rPr>
          <w:b/>
          <w:bCs/>
        </w:rPr>
      </w:pPr>
    </w:p>
    <w:p w:rsidR="00130C06" w:rsidRDefault="00575F69" w:rsidP="00CB3DF3">
      <w:pPr>
        <w:pStyle w:val="Standard"/>
        <w:widowControl w:val="0"/>
        <w:numPr>
          <w:ilvl w:val="0"/>
          <w:numId w:val="16"/>
        </w:numPr>
        <w:autoSpaceDE w:val="0"/>
        <w:jc w:val="both"/>
        <w:rPr>
          <w:bCs/>
        </w:rPr>
      </w:pPr>
      <w:r>
        <w:rPr>
          <w:bCs/>
        </w:rPr>
        <w:t xml:space="preserve">Otevřít hrob </w:t>
      </w:r>
      <w:r w:rsidR="00741EE4">
        <w:rPr>
          <w:bCs/>
        </w:rPr>
        <w:t>na pohřebišti, ukládat do nich</w:t>
      </w:r>
      <w:r w:rsidR="00A81BB7">
        <w:rPr>
          <w:bCs/>
        </w:rPr>
        <w:t xml:space="preserve"> </w:t>
      </w:r>
      <w:r w:rsidR="00AD361A">
        <w:rPr>
          <w:bCs/>
        </w:rPr>
        <w:t>lidské pozůstatky nebo provádět exhumaci je oprávněn pouze správce pohřebiště</w:t>
      </w:r>
      <w:r w:rsidR="00130C06">
        <w:rPr>
          <w:bCs/>
        </w:rPr>
        <w:t xml:space="preserve"> nebo provozovatel pohřební služby, který na základě smlouvy s </w:t>
      </w:r>
      <w:proofErr w:type="spellStart"/>
      <w:r w:rsidR="00130C06">
        <w:rPr>
          <w:bCs/>
        </w:rPr>
        <w:t>vypravitelem</w:t>
      </w:r>
      <w:proofErr w:type="spellEnd"/>
      <w:r w:rsidR="00130C06">
        <w:rPr>
          <w:bCs/>
        </w:rPr>
        <w:t xml:space="preserve"> pohřbu hodlá na pohřebišti pohřbít lidské pozůstatky.</w:t>
      </w:r>
    </w:p>
    <w:p w:rsidR="00575F69" w:rsidRDefault="00130C06" w:rsidP="00575F69">
      <w:pPr>
        <w:pStyle w:val="Standard"/>
        <w:widowControl w:val="0"/>
        <w:numPr>
          <w:ilvl w:val="0"/>
          <w:numId w:val="16"/>
        </w:numPr>
        <w:autoSpaceDE w:val="0"/>
        <w:jc w:val="both"/>
        <w:rPr>
          <w:bCs/>
        </w:rPr>
      </w:pPr>
      <w:r w:rsidRPr="00CB3DF3">
        <w:rPr>
          <w:bCs/>
        </w:rPr>
        <w:t>Obdobně jako při přijímání lidských pozůstatků k pohřbení provozovatel dbá na to, aby převzetí</w:t>
      </w:r>
      <w:r w:rsidR="00741EE4" w:rsidRPr="00CB3DF3">
        <w:rPr>
          <w:bCs/>
        </w:rPr>
        <w:t xml:space="preserve"> </w:t>
      </w:r>
      <w:r w:rsidRPr="00CB3DF3">
        <w:rPr>
          <w:bCs/>
        </w:rPr>
        <w:t>nezpopelněných lidských ostatků bylo doloženo alespoň úmrtním listem a průvodním dopisem s uvedením, o čí ostatky se jedná, odkud jsou a v koho zájmu se exhumace a převoz prováděl. U urny postačí předložit doklad o zpopelnění, který obsahuje údaje shodné s identifikačním štítkem. Tyto dokumenty by měly být podkladem i pro evidenci související s provozováním pohřebiště.</w:t>
      </w:r>
    </w:p>
    <w:p w:rsidR="00130C06" w:rsidRDefault="00130C06" w:rsidP="00575F69">
      <w:pPr>
        <w:pStyle w:val="Standard"/>
        <w:widowControl w:val="0"/>
        <w:numPr>
          <w:ilvl w:val="0"/>
          <w:numId w:val="16"/>
        </w:numPr>
        <w:autoSpaceDE w:val="0"/>
        <w:jc w:val="both"/>
        <w:rPr>
          <w:bCs/>
        </w:rPr>
      </w:pPr>
      <w:r w:rsidRPr="00CB3DF3">
        <w:rPr>
          <w:bCs/>
        </w:rPr>
        <w:t>Bez ohledu na uplynutí tlecí doby může být s lidskými ostatky v rámci pohřebiště manipulováno pouze na základě předchozího souhlasu provozovatele pohřebiště.</w:t>
      </w:r>
    </w:p>
    <w:p w:rsidR="00130C06" w:rsidRDefault="003F511E" w:rsidP="00575F69">
      <w:pPr>
        <w:pStyle w:val="Standard"/>
        <w:widowControl w:val="0"/>
        <w:numPr>
          <w:ilvl w:val="0"/>
          <w:numId w:val="16"/>
        </w:numPr>
        <w:autoSpaceDE w:val="0"/>
        <w:jc w:val="both"/>
        <w:rPr>
          <w:bCs/>
        </w:rPr>
      </w:pPr>
      <w:r w:rsidRPr="00CB3DF3">
        <w:rPr>
          <w:bCs/>
        </w:rPr>
        <w:t xml:space="preserve">Nezpopelněné i zpopelněné lidské ostatky mohou být exhumovány pouze na písemnou a odůvodněnou žádost nájemce hrobového místa. Převoz exhumovaných nezpopelněných lidských ostatků na jiné pohřebiště musí být předem </w:t>
      </w:r>
      <w:r w:rsidR="001E325C" w:rsidRPr="00CB3DF3">
        <w:rPr>
          <w:bCs/>
        </w:rPr>
        <w:t>objednán u provozovatele pohřební služby a objednávka k žádosti přiložena. Nájemce hrobového místa doloží k žádosti o exhumaci vždy skutečnost úmrtí podle § 22 odst. 2 zákona o pohřebnictví a písemný souhlas osoby uvedené v § 114 odst.</w:t>
      </w:r>
      <w:r w:rsidR="00CB3DF3">
        <w:rPr>
          <w:bCs/>
        </w:rPr>
        <w:t xml:space="preserve"> </w:t>
      </w:r>
      <w:r w:rsidR="001E325C" w:rsidRPr="00CB3DF3">
        <w:rPr>
          <w:bCs/>
        </w:rPr>
        <w:t>1 Občanského zákoníku. Před exhumací nezetlelých lidských ostatků musí nájemce hrobového místa písemně požádat o souhlas také krajskou hygienickou stanici.</w:t>
      </w:r>
    </w:p>
    <w:p w:rsidR="001E325C" w:rsidRPr="00CB3DF3" w:rsidRDefault="001E325C" w:rsidP="00575F69">
      <w:pPr>
        <w:pStyle w:val="Standard"/>
        <w:widowControl w:val="0"/>
        <w:numPr>
          <w:ilvl w:val="0"/>
          <w:numId w:val="16"/>
        </w:numPr>
        <w:autoSpaceDE w:val="0"/>
        <w:jc w:val="both"/>
        <w:rPr>
          <w:bCs/>
        </w:rPr>
      </w:pPr>
      <w:r w:rsidRPr="00CB3DF3">
        <w:rPr>
          <w:bCs/>
        </w:rPr>
        <w:t>Provozovatel pohřební služby smí otevřít hrob pro uložení lidských pozůstatků nebo lidských ostatků, k provedení exhumace, popř. k jiným účelům, pokud provozovatel pohřebiště obdrží:</w:t>
      </w:r>
    </w:p>
    <w:p w:rsidR="001E325C" w:rsidRDefault="001E325C" w:rsidP="00903322">
      <w:pPr>
        <w:pStyle w:val="Standard"/>
        <w:widowControl w:val="0"/>
        <w:numPr>
          <w:ilvl w:val="0"/>
          <w:numId w:val="14"/>
        </w:numPr>
        <w:autoSpaceDE w:val="0"/>
        <w:jc w:val="both"/>
        <w:rPr>
          <w:bCs/>
        </w:rPr>
      </w:pPr>
      <w:r>
        <w:rPr>
          <w:bCs/>
        </w:rPr>
        <w:t xml:space="preserve">písemnou žádost </w:t>
      </w:r>
      <w:proofErr w:type="spellStart"/>
      <w:r>
        <w:rPr>
          <w:bCs/>
        </w:rPr>
        <w:t>vypravitele</w:t>
      </w:r>
      <w:proofErr w:type="spellEnd"/>
      <w:r>
        <w:rPr>
          <w:bCs/>
        </w:rPr>
        <w:t xml:space="preserve"> pohřbu a nájemce hrobu o otevření hrobu provozovatelem pohřební služby,</w:t>
      </w:r>
    </w:p>
    <w:p w:rsidR="001E325C" w:rsidRDefault="002807A9" w:rsidP="00903322">
      <w:pPr>
        <w:pStyle w:val="Standard"/>
        <w:widowControl w:val="0"/>
        <w:numPr>
          <w:ilvl w:val="0"/>
          <w:numId w:val="14"/>
        </w:numPr>
        <w:autoSpaceDE w:val="0"/>
        <w:jc w:val="both"/>
        <w:rPr>
          <w:bCs/>
        </w:rPr>
      </w:pPr>
      <w:r>
        <w:rPr>
          <w:bCs/>
        </w:rPr>
        <w:t xml:space="preserve">kopii té části smlouvy uzavřené mezi provozovatelem pohřební služby a </w:t>
      </w:r>
      <w:proofErr w:type="spellStart"/>
      <w:r>
        <w:rPr>
          <w:bCs/>
        </w:rPr>
        <w:t>vypravitelem</w:t>
      </w:r>
      <w:proofErr w:type="spellEnd"/>
      <w:r>
        <w:rPr>
          <w:bCs/>
        </w:rPr>
        <w:t xml:space="preserve"> pohřbu, která přikazuje pohřbít do příslušného hrobového místa,</w:t>
      </w:r>
    </w:p>
    <w:p w:rsidR="002807A9" w:rsidRDefault="002807A9" w:rsidP="00903322">
      <w:pPr>
        <w:pStyle w:val="Standard"/>
        <w:widowControl w:val="0"/>
        <w:numPr>
          <w:ilvl w:val="0"/>
          <w:numId w:val="14"/>
        </w:numPr>
        <w:autoSpaceDE w:val="0"/>
        <w:jc w:val="both"/>
        <w:rPr>
          <w:bCs/>
        </w:rPr>
      </w:pPr>
      <w:r>
        <w:rPr>
          <w:bCs/>
        </w:rPr>
        <w:t>doklad o oprávnění podnikatelské činnosti v oblasti provozování pohřební služby a oprávněnosti vykonávat podnikatelskou činnost (výpis z </w:t>
      </w:r>
      <w:proofErr w:type="spellStart"/>
      <w:proofErr w:type="gramStart"/>
      <w:r>
        <w:rPr>
          <w:bCs/>
        </w:rPr>
        <w:t>živ</w:t>
      </w:r>
      <w:proofErr w:type="gramEnd"/>
      <w:r>
        <w:rPr>
          <w:bCs/>
        </w:rPr>
        <w:t>.</w:t>
      </w:r>
      <w:proofErr w:type="gramStart"/>
      <w:r>
        <w:rPr>
          <w:bCs/>
        </w:rPr>
        <w:t>rejstříku</w:t>
      </w:r>
      <w:proofErr w:type="spellEnd"/>
      <w:proofErr w:type="gramEnd"/>
      <w:r>
        <w:rPr>
          <w:bCs/>
        </w:rPr>
        <w:t>),</w:t>
      </w:r>
    </w:p>
    <w:p w:rsidR="002807A9" w:rsidRDefault="002807A9" w:rsidP="00903322">
      <w:pPr>
        <w:pStyle w:val="Standard"/>
        <w:widowControl w:val="0"/>
        <w:numPr>
          <w:ilvl w:val="0"/>
          <w:numId w:val="14"/>
        </w:numPr>
        <w:autoSpaceDE w:val="0"/>
        <w:jc w:val="both"/>
        <w:rPr>
          <w:bCs/>
        </w:rPr>
      </w:pPr>
      <w:r>
        <w:rPr>
          <w:bCs/>
        </w:rPr>
        <w:lastRenderedPageBreak/>
        <w:t>prohlášení, že uvedené práce zajistí provozovatel pohřební služby na vlastní náklad, vlastními zaměstnanci a s použitím vlastních pomůcek a nářadí a na vlastní odpovědnost.</w:t>
      </w:r>
    </w:p>
    <w:p w:rsidR="00903322" w:rsidRDefault="00903322" w:rsidP="00903322">
      <w:pPr>
        <w:pStyle w:val="Standard"/>
        <w:widowControl w:val="0"/>
        <w:autoSpaceDE w:val="0"/>
        <w:ind w:left="720"/>
        <w:jc w:val="both"/>
        <w:rPr>
          <w:bCs/>
        </w:rPr>
      </w:pPr>
    </w:p>
    <w:p w:rsidR="002807A9" w:rsidRDefault="007D700D" w:rsidP="00CB3DF3">
      <w:pPr>
        <w:pStyle w:val="Standard"/>
        <w:widowControl w:val="0"/>
        <w:numPr>
          <w:ilvl w:val="0"/>
          <w:numId w:val="16"/>
        </w:numPr>
        <w:autoSpaceDE w:val="0"/>
        <w:jc w:val="both"/>
        <w:rPr>
          <w:bCs/>
        </w:rPr>
      </w:pPr>
      <w:r>
        <w:rPr>
          <w:bCs/>
        </w:rPr>
        <w:t>Zaměstnanec pohřební služby, který bude hrob otevírat, musí být provozovatelem pohřebiště seznámen s řádem pohřebiště, místními podmínkami a s jinými informacemi nezbytnými pro bezpečné a nezávadné otevření hrobu.</w:t>
      </w:r>
    </w:p>
    <w:p w:rsidR="007D700D" w:rsidRDefault="007D700D" w:rsidP="00575F69">
      <w:pPr>
        <w:pStyle w:val="Standard"/>
        <w:widowControl w:val="0"/>
        <w:numPr>
          <w:ilvl w:val="0"/>
          <w:numId w:val="16"/>
        </w:numPr>
        <w:autoSpaceDE w:val="0"/>
        <w:jc w:val="both"/>
        <w:rPr>
          <w:bCs/>
        </w:rPr>
      </w:pPr>
      <w:r w:rsidRPr="00CB3DF3">
        <w:rPr>
          <w:bCs/>
        </w:rPr>
        <w:t>Otevření hrobu, u něhož neuplynula tlecí doba od posledního pohřbení, je možné provést jen tehdy, pokud příslušná krajská hygienická stanice povolila manipulaci s nezetlelými lidskými ostatky.</w:t>
      </w:r>
    </w:p>
    <w:p w:rsidR="007D700D" w:rsidRDefault="007D700D" w:rsidP="00575F69">
      <w:pPr>
        <w:pStyle w:val="Standard"/>
        <w:widowControl w:val="0"/>
        <w:numPr>
          <w:ilvl w:val="0"/>
          <w:numId w:val="16"/>
        </w:numPr>
        <w:autoSpaceDE w:val="0"/>
        <w:jc w:val="both"/>
        <w:rPr>
          <w:bCs/>
        </w:rPr>
      </w:pPr>
      <w:r w:rsidRPr="00CB3DF3">
        <w:rPr>
          <w:bCs/>
        </w:rPr>
        <w:t>Provozovatel pohřebiště může odmítnout otevření hrobu, jsou-li k tomu závažné důvody, např. bezprostřední blízkost vzrostlého stromu, u něhož by musely být přerušeny hlavní kořeny, pokud je pohřebiště a jeho porost v nepříznivém stavu v důsledku povětrnostních podmínek.</w:t>
      </w:r>
    </w:p>
    <w:p w:rsidR="007D700D" w:rsidRDefault="007D700D" w:rsidP="00575F69">
      <w:pPr>
        <w:pStyle w:val="Standard"/>
        <w:widowControl w:val="0"/>
        <w:numPr>
          <w:ilvl w:val="0"/>
          <w:numId w:val="16"/>
        </w:numPr>
        <w:autoSpaceDE w:val="0"/>
        <w:jc w:val="both"/>
        <w:rPr>
          <w:bCs/>
        </w:rPr>
      </w:pPr>
      <w:r w:rsidRPr="00CB3DF3">
        <w:rPr>
          <w:bCs/>
        </w:rPr>
        <w:t>Správce pohřebiště zajistí při otevření hrobu provoz tak, aby nebyl narušen veřejný pořáde</w:t>
      </w:r>
      <w:r w:rsidR="00903322" w:rsidRPr="00CB3DF3">
        <w:rPr>
          <w:bCs/>
        </w:rPr>
        <w:t>k a aby byl vyloučen přenos možné nákazy.</w:t>
      </w:r>
    </w:p>
    <w:p w:rsidR="00903322" w:rsidRPr="00CB3DF3" w:rsidRDefault="00903322" w:rsidP="00575F69">
      <w:pPr>
        <w:pStyle w:val="Standard"/>
        <w:widowControl w:val="0"/>
        <w:numPr>
          <w:ilvl w:val="0"/>
          <w:numId w:val="16"/>
        </w:numPr>
        <w:autoSpaceDE w:val="0"/>
        <w:jc w:val="both"/>
        <w:rPr>
          <w:bCs/>
        </w:rPr>
      </w:pPr>
      <w:r w:rsidRPr="00CB3DF3">
        <w:rPr>
          <w:bCs/>
        </w:rPr>
        <w:t>Náklady vzniklé správci pohřebiště v souvislosti s otevřením hrobu hradí ten, kdo o otevření požádal. Provozovatel pohřebiště má nárok na úhradu přiměřených nákladů za poskytnuté služby.</w:t>
      </w:r>
    </w:p>
    <w:p w:rsidR="002807A9" w:rsidRDefault="002807A9" w:rsidP="00575F69">
      <w:pPr>
        <w:pStyle w:val="Standard"/>
        <w:widowControl w:val="0"/>
        <w:autoSpaceDE w:val="0"/>
        <w:jc w:val="both"/>
        <w:rPr>
          <w:b/>
          <w:bCs/>
        </w:rPr>
      </w:pPr>
    </w:p>
    <w:p w:rsidR="0093147D" w:rsidRDefault="0093147D">
      <w:pPr>
        <w:pStyle w:val="Standard"/>
        <w:widowControl w:val="0"/>
        <w:autoSpaceDE w:val="0"/>
        <w:jc w:val="center"/>
        <w:rPr>
          <w:b/>
          <w:bCs/>
        </w:rPr>
      </w:pPr>
    </w:p>
    <w:p w:rsidR="0093147D" w:rsidRDefault="0093147D">
      <w:pPr>
        <w:pStyle w:val="Standard"/>
        <w:widowControl w:val="0"/>
        <w:autoSpaceDE w:val="0"/>
        <w:jc w:val="center"/>
        <w:rPr>
          <w:b/>
          <w:bCs/>
        </w:rPr>
      </w:pPr>
    </w:p>
    <w:p w:rsidR="006B1026" w:rsidRDefault="00EA2101">
      <w:pPr>
        <w:pStyle w:val="Standard"/>
        <w:widowControl w:val="0"/>
        <w:autoSpaceDE w:val="0"/>
        <w:jc w:val="center"/>
        <w:rPr>
          <w:b/>
          <w:bCs/>
        </w:rPr>
      </w:pPr>
      <w:r>
        <w:rPr>
          <w:b/>
          <w:bCs/>
        </w:rPr>
        <w:t>Článek VII</w:t>
      </w:r>
      <w:r w:rsidR="00903322">
        <w:rPr>
          <w:b/>
          <w:bCs/>
        </w:rPr>
        <w:t>I</w:t>
      </w:r>
    </w:p>
    <w:p w:rsidR="006B1026" w:rsidRPr="008F1B17" w:rsidRDefault="00EA2101">
      <w:pPr>
        <w:pStyle w:val="Standard"/>
        <w:widowControl w:val="0"/>
        <w:autoSpaceDE w:val="0"/>
        <w:jc w:val="center"/>
        <w:rPr>
          <w:b/>
        </w:rPr>
      </w:pPr>
      <w:r w:rsidRPr="008F1B17">
        <w:rPr>
          <w:b/>
        </w:rPr>
        <w:t>Tlecí doba</w:t>
      </w:r>
    </w:p>
    <w:p w:rsidR="006B1026" w:rsidRDefault="006B1026">
      <w:pPr>
        <w:pStyle w:val="Standard"/>
        <w:widowControl w:val="0"/>
        <w:autoSpaceDE w:val="0"/>
        <w:jc w:val="both"/>
      </w:pPr>
    </w:p>
    <w:p w:rsidR="006B1026" w:rsidRDefault="00EA2101">
      <w:pPr>
        <w:pStyle w:val="Standard"/>
        <w:widowControl w:val="0"/>
        <w:autoSpaceDE w:val="0"/>
        <w:jc w:val="both"/>
      </w:pPr>
      <w:r>
        <w:t xml:space="preserve">Tlecí doba stanovená pro ukládání lidských pozůstatků do hrobu </w:t>
      </w:r>
      <w:proofErr w:type="gramStart"/>
      <w:r>
        <w:t>činí  10</w:t>
      </w:r>
      <w:proofErr w:type="gramEnd"/>
      <w:r>
        <w:t xml:space="preserve">  let.</w:t>
      </w:r>
    </w:p>
    <w:p w:rsidR="006B1026" w:rsidRDefault="006B1026">
      <w:pPr>
        <w:pStyle w:val="Standard"/>
        <w:widowControl w:val="0"/>
        <w:autoSpaceDE w:val="0"/>
        <w:jc w:val="both"/>
        <w:rPr>
          <w:u w:val="single"/>
        </w:rPr>
      </w:pPr>
    </w:p>
    <w:p w:rsidR="006B1026" w:rsidRDefault="006B1026">
      <w:pPr>
        <w:pStyle w:val="Standard"/>
        <w:widowControl w:val="0"/>
        <w:autoSpaceDE w:val="0"/>
        <w:jc w:val="both"/>
        <w:rPr>
          <w:u w:val="single"/>
        </w:rPr>
      </w:pPr>
    </w:p>
    <w:p w:rsidR="006B1026" w:rsidRDefault="00EA2101">
      <w:pPr>
        <w:pStyle w:val="Standard"/>
        <w:widowControl w:val="0"/>
        <w:autoSpaceDE w:val="0"/>
        <w:jc w:val="center"/>
        <w:rPr>
          <w:b/>
          <w:bCs/>
        </w:rPr>
      </w:pPr>
      <w:r>
        <w:rPr>
          <w:b/>
          <w:bCs/>
        </w:rPr>
        <w:t xml:space="preserve">Článek </w:t>
      </w:r>
      <w:r w:rsidR="00903322">
        <w:rPr>
          <w:b/>
          <w:bCs/>
        </w:rPr>
        <w:t>IX</w:t>
      </w:r>
    </w:p>
    <w:p w:rsidR="006B1026" w:rsidRDefault="003F2B6C">
      <w:pPr>
        <w:pStyle w:val="Standard"/>
        <w:widowControl w:val="0"/>
        <w:autoSpaceDE w:val="0"/>
        <w:jc w:val="center"/>
        <w:rPr>
          <w:b/>
          <w:bCs/>
        </w:rPr>
      </w:pPr>
      <w:r>
        <w:rPr>
          <w:b/>
          <w:bCs/>
        </w:rPr>
        <w:t>Ostatní</w:t>
      </w:r>
    </w:p>
    <w:p w:rsidR="006B1026" w:rsidRDefault="00EA2101" w:rsidP="003F2B6C">
      <w:pPr>
        <w:pStyle w:val="Standard"/>
        <w:widowControl w:val="0"/>
        <w:numPr>
          <w:ilvl w:val="0"/>
          <w:numId w:val="12"/>
        </w:numPr>
        <w:autoSpaceDE w:val="0"/>
        <w:jc w:val="both"/>
        <w:rPr>
          <w:bCs/>
        </w:rPr>
      </w:pPr>
      <w:r>
        <w:rPr>
          <w:bCs/>
        </w:rPr>
        <w:t>Zakazuje se jakékoli umísťování různých nabídek a reklam firem i soukromých osob ve všech prostorách hřbitova a jeho bezprostředního okolí s výjimkou míst k tomu vyhrazených správcem a po jeho předchozím odsouhlasení.</w:t>
      </w:r>
    </w:p>
    <w:p w:rsidR="006B1026" w:rsidRPr="003F2B6C" w:rsidRDefault="00EA2101" w:rsidP="003F2B6C">
      <w:pPr>
        <w:pStyle w:val="Standard"/>
        <w:widowControl w:val="0"/>
        <w:numPr>
          <w:ilvl w:val="0"/>
          <w:numId w:val="12"/>
        </w:numPr>
        <w:autoSpaceDE w:val="0"/>
        <w:jc w:val="both"/>
        <w:rPr>
          <w:bCs/>
        </w:rPr>
      </w:pPr>
      <w:r>
        <w:t>Další práva a povinnosti provozovatele a správce pohřebiště a nájemce hrobového místa jsou stanoveny zákonem.</w:t>
      </w:r>
    </w:p>
    <w:p w:rsidR="003F2B6C" w:rsidRDefault="003F2B6C" w:rsidP="003F2B6C">
      <w:pPr>
        <w:pStyle w:val="Standard"/>
        <w:widowControl w:val="0"/>
        <w:autoSpaceDE w:val="0"/>
        <w:jc w:val="both"/>
      </w:pPr>
    </w:p>
    <w:p w:rsidR="003F2B6C" w:rsidRDefault="003F2B6C" w:rsidP="003F2B6C">
      <w:pPr>
        <w:pStyle w:val="Standard"/>
        <w:widowControl w:val="0"/>
        <w:autoSpaceDE w:val="0"/>
        <w:jc w:val="both"/>
      </w:pPr>
    </w:p>
    <w:p w:rsidR="003F2B6C" w:rsidRPr="003F2B6C" w:rsidRDefault="003F2B6C" w:rsidP="003F2B6C">
      <w:pPr>
        <w:pStyle w:val="Standard"/>
        <w:widowControl w:val="0"/>
        <w:autoSpaceDE w:val="0"/>
        <w:jc w:val="center"/>
        <w:rPr>
          <w:b/>
        </w:rPr>
      </w:pPr>
      <w:r w:rsidRPr="003F2B6C">
        <w:rPr>
          <w:b/>
        </w:rPr>
        <w:t>Článek X</w:t>
      </w:r>
    </w:p>
    <w:p w:rsidR="003F2B6C" w:rsidRPr="003F2B6C" w:rsidRDefault="003F2B6C" w:rsidP="003F2B6C">
      <w:pPr>
        <w:pStyle w:val="Standard"/>
        <w:widowControl w:val="0"/>
        <w:autoSpaceDE w:val="0"/>
        <w:jc w:val="center"/>
        <w:rPr>
          <w:b/>
        </w:rPr>
      </w:pPr>
      <w:r w:rsidRPr="003F2B6C">
        <w:rPr>
          <w:b/>
        </w:rPr>
        <w:t>Zrušovací ustanovení</w:t>
      </w:r>
    </w:p>
    <w:p w:rsidR="003F2B6C" w:rsidRDefault="003F2B6C" w:rsidP="003F2B6C">
      <w:pPr>
        <w:pStyle w:val="Standard"/>
        <w:widowControl w:val="0"/>
        <w:autoSpaceDE w:val="0"/>
        <w:jc w:val="both"/>
      </w:pPr>
    </w:p>
    <w:p w:rsidR="003F2B6C" w:rsidRPr="003F2B6C" w:rsidRDefault="003F2B6C" w:rsidP="003F2B6C">
      <w:pPr>
        <w:pStyle w:val="Standard"/>
        <w:widowControl w:val="0"/>
        <w:autoSpaceDE w:val="0"/>
        <w:jc w:val="both"/>
        <w:rPr>
          <w:bCs/>
        </w:rPr>
      </w:pPr>
      <w:r>
        <w:t xml:space="preserve">Dnem nabytí účinnosti tohoto schváleného Řádu pohřebiště se zrušuje v celém rozsahu Řád </w:t>
      </w:r>
      <w:r w:rsidR="00DB7ACA">
        <w:t xml:space="preserve">veřejného </w:t>
      </w:r>
      <w:r>
        <w:t xml:space="preserve">pohřebiště ze dne </w:t>
      </w:r>
      <w:r w:rsidR="00DB7ACA">
        <w:t xml:space="preserve">24.6.2002 </w:t>
      </w:r>
      <w:r w:rsidR="00DB7ACA" w:rsidRPr="00DB7ACA">
        <w:t>s</w:t>
      </w:r>
      <w:r w:rsidRPr="00DB7ACA">
        <w:t>chválený Starostkou městské části dne 12.7.2002</w:t>
      </w:r>
      <w:r w:rsidR="00DB7ACA">
        <w:t xml:space="preserve"> a </w:t>
      </w:r>
      <w:proofErr w:type="spellStart"/>
      <w:r w:rsidR="00DB7ACA">
        <w:t>Hl.m.Prahou</w:t>
      </w:r>
      <w:proofErr w:type="spellEnd"/>
      <w:r w:rsidR="00DB7ACA">
        <w:t xml:space="preserve">, Magistrátem </w:t>
      </w:r>
      <w:proofErr w:type="spellStart"/>
      <w:r w:rsidR="00DB7ACA">
        <w:t>hl.m.Prahy</w:t>
      </w:r>
      <w:proofErr w:type="spellEnd"/>
      <w:r w:rsidR="00DB7ACA">
        <w:t xml:space="preserve"> </w:t>
      </w:r>
      <w:proofErr w:type="gramStart"/>
      <w:r w:rsidR="00DB7ACA">
        <w:t>č.j.</w:t>
      </w:r>
      <w:proofErr w:type="gramEnd"/>
      <w:r w:rsidR="00DB7ACA">
        <w:t xml:space="preserve"> OOA-718/02-S/</w:t>
      </w:r>
      <w:proofErr w:type="spellStart"/>
      <w:r w:rsidR="00DB7ACA">
        <w:t>Chy</w:t>
      </w:r>
      <w:proofErr w:type="spellEnd"/>
      <w:r w:rsidR="00DB7ACA">
        <w:t>.</w:t>
      </w:r>
    </w:p>
    <w:p w:rsidR="006B1026" w:rsidRDefault="006B1026">
      <w:pPr>
        <w:pStyle w:val="Standard"/>
        <w:widowControl w:val="0"/>
        <w:autoSpaceDE w:val="0"/>
        <w:jc w:val="both"/>
      </w:pPr>
    </w:p>
    <w:p w:rsidR="00903322" w:rsidRDefault="00903322">
      <w:pPr>
        <w:pStyle w:val="Standard"/>
        <w:widowControl w:val="0"/>
        <w:autoSpaceDE w:val="0"/>
        <w:jc w:val="both"/>
      </w:pPr>
    </w:p>
    <w:p w:rsidR="006B1026" w:rsidRPr="003F2B6C" w:rsidRDefault="003F2B6C" w:rsidP="003F2B6C">
      <w:pPr>
        <w:pStyle w:val="Standard"/>
        <w:widowControl w:val="0"/>
        <w:autoSpaceDE w:val="0"/>
        <w:jc w:val="center"/>
        <w:rPr>
          <w:b/>
        </w:rPr>
      </w:pPr>
      <w:r w:rsidRPr="003F2B6C">
        <w:rPr>
          <w:b/>
        </w:rPr>
        <w:t>Článek X</w:t>
      </w:r>
      <w:r w:rsidR="00903322">
        <w:rPr>
          <w:b/>
        </w:rPr>
        <w:t>I</w:t>
      </w:r>
    </w:p>
    <w:p w:rsidR="003F2B6C" w:rsidRPr="003F2B6C" w:rsidRDefault="003F2B6C" w:rsidP="003F2B6C">
      <w:pPr>
        <w:pStyle w:val="Standard"/>
        <w:widowControl w:val="0"/>
        <w:autoSpaceDE w:val="0"/>
        <w:jc w:val="center"/>
        <w:rPr>
          <w:b/>
        </w:rPr>
      </w:pPr>
      <w:r w:rsidRPr="003F2B6C">
        <w:rPr>
          <w:b/>
        </w:rPr>
        <w:t>Závěrečné ustanovení</w:t>
      </w:r>
    </w:p>
    <w:p w:rsidR="006B1026" w:rsidRDefault="006B1026">
      <w:pPr>
        <w:pStyle w:val="Standard"/>
        <w:widowControl w:val="0"/>
        <w:autoSpaceDE w:val="0"/>
        <w:jc w:val="both"/>
      </w:pPr>
    </w:p>
    <w:p w:rsidR="006B1026" w:rsidRDefault="003F2B6C" w:rsidP="003F2B6C">
      <w:pPr>
        <w:pStyle w:val="Standard"/>
        <w:widowControl w:val="0"/>
        <w:numPr>
          <w:ilvl w:val="0"/>
          <w:numId w:val="13"/>
        </w:numPr>
        <w:autoSpaceDE w:val="0"/>
        <w:jc w:val="both"/>
      </w:pPr>
      <w:r>
        <w:t xml:space="preserve">Tento řád nabývá účinnosti dnem </w:t>
      </w:r>
      <w:proofErr w:type="gramStart"/>
      <w:r w:rsidR="00CB3DF3">
        <w:t>1.7.</w:t>
      </w:r>
      <w:r>
        <w:t>2020</w:t>
      </w:r>
      <w:proofErr w:type="gramEnd"/>
      <w:r>
        <w:t>.</w:t>
      </w:r>
    </w:p>
    <w:p w:rsidR="003F2B6C" w:rsidRDefault="003F2B6C" w:rsidP="003F2B6C">
      <w:pPr>
        <w:pStyle w:val="Standard"/>
        <w:widowControl w:val="0"/>
        <w:numPr>
          <w:ilvl w:val="0"/>
          <w:numId w:val="13"/>
        </w:numPr>
        <w:autoSpaceDE w:val="0"/>
        <w:jc w:val="both"/>
      </w:pPr>
      <w:r>
        <w:lastRenderedPageBreak/>
        <w:t xml:space="preserve">Řád veřejného pohřebiště </w:t>
      </w:r>
      <w:r w:rsidR="00510B9B">
        <w:t>bude po celou dobu platnosti</w:t>
      </w:r>
      <w:r>
        <w:t xml:space="preserve"> vyvěšen na pohřebišti na místě obvyklém.</w:t>
      </w:r>
    </w:p>
    <w:p w:rsidR="003F2B6C" w:rsidRDefault="003F2B6C">
      <w:pPr>
        <w:pStyle w:val="Standard"/>
        <w:widowControl w:val="0"/>
        <w:autoSpaceDE w:val="0"/>
        <w:jc w:val="both"/>
      </w:pPr>
    </w:p>
    <w:p w:rsidR="006B1026" w:rsidRDefault="006B1026">
      <w:pPr>
        <w:pStyle w:val="Standard"/>
        <w:widowControl w:val="0"/>
        <w:autoSpaceDE w:val="0"/>
        <w:jc w:val="both"/>
        <w:rPr>
          <w:b/>
        </w:rPr>
      </w:pPr>
    </w:p>
    <w:p w:rsidR="006B1026" w:rsidRDefault="006B1026">
      <w:pPr>
        <w:pStyle w:val="Standard"/>
        <w:widowControl w:val="0"/>
        <w:autoSpaceDE w:val="0"/>
        <w:jc w:val="both"/>
        <w:rPr>
          <w:b/>
        </w:rPr>
      </w:pPr>
    </w:p>
    <w:p w:rsidR="006B1026" w:rsidRDefault="006B1026">
      <w:pPr>
        <w:pStyle w:val="Standard"/>
        <w:widowControl w:val="0"/>
        <w:autoSpaceDE w:val="0"/>
        <w:jc w:val="both"/>
        <w:rPr>
          <w:b/>
        </w:rPr>
      </w:pPr>
    </w:p>
    <w:p w:rsidR="006B1026" w:rsidRDefault="006B1026">
      <w:pPr>
        <w:pStyle w:val="Standard"/>
        <w:widowControl w:val="0"/>
        <w:autoSpaceDE w:val="0"/>
        <w:jc w:val="both"/>
        <w:rPr>
          <w:b/>
        </w:rPr>
      </w:pPr>
    </w:p>
    <w:p w:rsidR="006B1026" w:rsidRDefault="006B1026">
      <w:pPr>
        <w:pStyle w:val="Standard"/>
        <w:widowControl w:val="0"/>
        <w:autoSpaceDE w:val="0"/>
        <w:jc w:val="both"/>
        <w:rPr>
          <w:b/>
        </w:rPr>
      </w:pPr>
    </w:p>
    <w:p w:rsidR="006B1026" w:rsidRDefault="00510B9B">
      <w:pPr>
        <w:pStyle w:val="Standard"/>
        <w:widowControl w:val="0"/>
        <w:autoSpaceDE w:val="0"/>
        <w:jc w:val="both"/>
        <w:rPr>
          <w:b/>
        </w:rPr>
      </w:pPr>
      <w:r>
        <w:rPr>
          <w:b/>
        </w:rPr>
        <w:t xml:space="preserve">Ing. </w:t>
      </w:r>
      <w:proofErr w:type="gramStart"/>
      <w:r>
        <w:rPr>
          <w:b/>
        </w:rPr>
        <w:t>Lenka   A l i n č o v á</w:t>
      </w:r>
      <w:proofErr w:type="gramEnd"/>
      <w:r>
        <w:rPr>
          <w:b/>
        </w:rPr>
        <w:t xml:space="preserve"> </w:t>
      </w:r>
    </w:p>
    <w:p w:rsidR="006B1026" w:rsidRDefault="00EA2101">
      <w:pPr>
        <w:pStyle w:val="Standard"/>
        <w:widowControl w:val="0"/>
        <w:autoSpaceDE w:val="0"/>
        <w:jc w:val="both"/>
        <w:rPr>
          <w:b/>
        </w:rPr>
      </w:pPr>
      <w:r>
        <w:rPr>
          <w:b/>
        </w:rPr>
        <w:t>......................................................................</w:t>
      </w:r>
    </w:p>
    <w:p w:rsidR="006B1026" w:rsidRDefault="00EA2101">
      <w:pPr>
        <w:pStyle w:val="Standard"/>
        <w:widowControl w:val="0"/>
        <w:autoSpaceDE w:val="0"/>
        <w:jc w:val="both"/>
        <w:rPr>
          <w:b/>
        </w:rPr>
      </w:pPr>
      <w:r>
        <w:rPr>
          <w:b/>
        </w:rPr>
        <w:t>starostka MČ Praha - Kunratice</w:t>
      </w:r>
    </w:p>
    <w:sectPr w:rsidR="006B1026" w:rsidSect="001934ED">
      <w:headerReference w:type="default" r:id="rId9"/>
      <w:footerReference w:type="default" r:id="rId10"/>
      <w:pgSz w:w="11906" w:h="16838"/>
      <w:pgMar w:top="1560" w:right="849" w:bottom="1134" w:left="1701" w:header="360" w:footer="55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54F" w:rsidRDefault="00C5054F">
      <w:r>
        <w:separator/>
      </w:r>
    </w:p>
  </w:endnote>
  <w:endnote w:type="continuationSeparator" w:id="0">
    <w:p w:rsidR="00C5054F" w:rsidRDefault="00C5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StarSymbol, 'Arial Unicode MS'">
    <w:charset w:val="02"/>
    <w:family w:val="auto"/>
    <w:pitch w:val="default"/>
  </w:font>
  <w:font w:name="OpenSymbol">
    <w:charset w:val="00"/>
    <w:family w:val="auto"/>
    <w:pitch w:val="default"/>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CAE" w:rsidRPr="00A140EB" w:rsidRDefault="00A140EB" w:rsidP="00A140EB">
    <w:pPr>
      <w:pStyle w:val="Standard"/>
      <w:widowControl w:val="0"/>
      <w:tabs>
        <w:tab w:val="center" w:pos="4154"/>
        <w:tab w:val="right" w:pos="8309"/>
      </w:tabs>
      <w:autoSpaceDE w:val="0"/>
      <w:jc w:val="center"/>
      <w:rPr>
        <w:sz w:val="20"/>
        <w:szCs w:val="20"/>
      </w:rPr>
    </w:pPr>
    <w:r w:rsidRPr="00A140EB">
      <w:rPr>
        <w:sz w:val="20"/>
        <w:szCs w:val="20"/>
      </w:rPr>
      <w:t xml:space="preserve">Stránka </w:t>
    </w:r>
    <w:r w:rsidRPr="00A140EB">
      <w:rPr>
        <w:bCs/>
        <w:sz w:val="20"/>
        <w:szCs w:val="20"/>
      </w:rPr>
      <w:fldChar w:fldCharType="begin"/>
    </w:r>
    <w:r w:rsidRPr="00A140EB">
      <w:rPr>
        <w:bCs/>
        <w:sz w:val="20"/>
        <w:szCs w:val="20"/>
      </w:rPr>
      <w:instrText>PAGE  \* Arabic  \* MERGEFORMAT</w:instrText>
    </w:r>
    <w:r w:rsidRPr="00A140EB">
      <w:rPr>
        <w:bCs/>
        <w:sz w:val="20"/>
        <w:szCs w:val="20"/>
      </w:rPr>
      <w:fldChar w:fldCharType="separate"/>
    </w:r>
    <w:r w:rsidR="001934ED">
      <w:rPr>
        <w:bCs/>
        <w:noProof/>
        <w:sz w:val="20"/>
        <w:szCs w:val="20"/>
      </w:rPr>
      <w:t>5</w:t>
    </w:r>
    <w:r w:rsidRPr="00A140EB">
      <w:rPr>
        <w:bCs/>
        <w:sz w:val="20"/>
        <w:szCs w:val="20"/>
      </w:rPr>
      <w:fldChar w:fldCharType="end"/>
    </w:r>
    <w:r w:rsidRPr="00A140EB">
      <w:rPr>
        <w:sz w:val="20"/>
        <w:szCs w:val="20"/>
      </w:rPr>
      <w:t xml:space="preserve"> z </w:t>
    </w:r>
    <w:r w:rsidRPr="00A140EB">
      <w:rPr>
        <w:bCs/>
        <w:sz w:val="20"/>
        <w:szCs w:val="20"/>
      </w:rPr>
      <w:fldChar w:fldCharType="begin"/>
    </w:r>
    <w:r w:rsidRPr="00A140EB">
      <w:rPr>
        <w:bCs/>
        <w:sz w:val="20"/>
        <w:szCs w:val="20"/>
      </w:rPr>
      <w:instrText>NUMPAGES  \* Arabic  \* MERGEFORMAT</w:instrText>
    </w:r>
    <w:r w:rsidRPr="00A140EB">
      <w:rPr>
        <w:bCs/>
        <w:sz w:val="20"/>
        <w:szCs w:val="20"/>
      </w:rPr>
      <w:fldChar w:fldCharType="separate"/>
    </w:r>
    <w:r w:rsidR="001934ED">
      <w:rPr>
        <w:bCs/>
        <w:noProof/>
        <w:sz w:val="20"/>
        <w:szCs w:val="20"/>
      </w:rPr>
      <w:t>5</w:t>
    </w:r>
    <w:r w:rsidRPr="00A140EB">
      <w:rPr>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54F" w:rsidRDefault="00C5054F">
      <w:r>
        <w:rPr>
          <w:color w:val="000000"/>
        </w:rPr>
        <w:separator/>
      </w:r>
    </w:p>
  </w:footnote>
  <w:footnote w:type="continuationSeparator" w:id="0">
    <w:p w:rsidR="00C5054F" w:rsidRDefault="00C50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CAE" w:rsidRDefault="001934ED">
    <w:pPr>
      <w:pStyle w:val="Standard"/>
      <w:widowControl w:val="0"/>
      <w:tabs>
        <w:tab w:val="center" w:pos="4154"/>
        <w:tab w:val="right" w:pos="8309"/>
      </w:tabs>
      <w:autoSpaceDE w:val="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3652"/>
    <w:multiLevelType w:val="hybridMultilevel"/>
    <w:tmpl w:val="29DEAC7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E0D2CD0"/>
    <w:multiLevelType w:val="hybridMultilevel"/>
    <w:tmpl w:val="3DFE963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F5735B9"/>
    <w:multiLevelType w:val="hybridMultilevel"/>
    <w:tmpl w:val="909E69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46011B"/>
    <w:multiLevelType w:val="hybridMultilevel"/>
    <w:tmpl w:val="AAFE642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030508A"/>
    <w:multiLevelType w:val="hybridMultilevel"/>
    <w:tmpl w:val="064E600A"/>
    <w:lvl w:ilvl="0" w:tplc="C9F68084">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2F47EB7"/>
    <w:multiLevelType w:val="hybridMultilevel"/>
    <w:tmpl w:val="09BCC86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CE317E1"/>
    <w:multiLevelType w:val="hybridMultilevel"/>
    <w:tmpl w:val="925449D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4605D77"/>
    <w:multiLevelType w:val="multilevel"/>
    <w:tmpl w:val="E8C46DE8"/>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516548D1"/>
    <w:multiLevelType w:val="hybridMultilevel"/>
    <w:tmpl w:val="1D4C3ED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362254B"/>
    <w:multiLevelType w:val="hybridMultilevel"/>
    <w:tmpl w:val="D26633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4CF4691"/>
    <w:multiLevelType w:val="hybridMultilevel"/>
    <w:tmpl w:val="F074311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97D65AA"/>
    <w:multiLevelType w:val="hybridMultilevel"/>
    <w:tmpl w:val="E3AA91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BBE63F9"/>
    <w:multiLevelType w:val="hybridMultilevel"/>
    <w:tmpl w:val="3A72B6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3417D55"/>
    <w:multiLevelType w:val="hybridMultilevel"/>
    <w:tmpl w:val="2E2C97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5E019B5"/>
    <w:multiLevelType w:val="hybridMultilevel"/>
    <w:tmpl w:val="29C4A05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CCD3CC7"/>
    <w:multiLevelType w:val="hybridMultilevel"/>
    <w:tmpl w:val="B7B4E3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631214"/>
    <w:multiLevelType w:val="hybridMultilevel"/>
    <w:tmpl w:val="E06C4474"/>
    <w:lvl w:ilvl="0" w:tplc="196CA6D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14"/>
  </w:num>
  <w:num w:numId="5">
    <w:abstractNumId w:val="3"/>
  </w:num>
  <w:num w:numId="6">
    <w:abstractNumId w:val="2"/>
  </w:num>
  <w:num w:numId="7">
    <w:abstractNumId w:val="13"/>
  </w:num>
  <w:num w:numId="8">
    <w:abstractNumId w:val="0"/>
  </w:num>
  <w:num w:numId="9">
    <w:abstractNumId w:val="12"/>
  </w:num>
  <w:num w:numId="10">
    <w:abstractNumId w:val="16"/>
  </w:num>
  <w:num w:numId="11">
    <w:abstractNumId w:val="9"/>
  </w:num>
  <w:num w:numId="12">
    <w:abstractNumId w:val="1"/>
  </w:num>
  <w:num w:numId="13">
    <w:abstractNumId w:val="5"/>
  </w:num>
  <w:num w:numId="14">
    <w:abstractNumId w:val="11"/>
  </w:num>
  <w:num w:numId="15">
    <w:abstractNumId w:val="15"/>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026"/>
    <w:rsid w:val="000E09EC"/>
    <w:rsid w:val="001128A3"/>
    <w:rsid w:val="001128C4"/>
    <w:rsid w:val="00130C06"/>
    <w:rsid w:val="001934ED"/>
    <w:rsid w:val="001E325C"/>
    <w:rsid w:val="0025678D"/>
    <w:rsid w:val="002807A9"/>
    <w:rsid w:val="002D4C65"/>
    <w:rsid w:val="003F2B6C"/>
    <w:rsid w:val="003F511E"/>
    <w:rsid w:val="00434E09"/>
    <w:rsid w:val="00464025"/>
    <w:rsid w:val="00510B9B"/>
    <w:rsid w:val="00543B38"/>
    <w:rsid w:val="00575F69"/>
    <w:rsid w:val="006010B4"/>
    <w:rsid w:val="006925E4"/>
    <w:rsid w:val="006B1026"/>
    <w:rsid w:val="00723283"/>
    <w:rsid w:val="00741EE4"/>
    <w:rsid w:val="00767594"/>
    <w:rsid w:val="007D700D"/>
    <w:rsid w:val="008F1B17"/>
    <w:rsid w:val="00903322"/>
    <w:rsid w:val="0093147D"/>
    <w:rsid w:val="009C35C2"/>
    <w:rsid w:val="00A140EB"/>
    <w:rsid w:val="00A81BB7"/>
    <w:rsid w:val="00AD361A"/>
    <w:rsid w:val="00B53C7A"/>
    <w:rsid w:val="00BA3F38"/>
    <w:rsid w:val="00BA7211"/>
    <w:rsid w:val="00C5054F"/>
    <w:rsid w:val="00CB3DF3"/>
    <w:rsid w:val="00DB2107"/>
    <w:rsid w:val="00DB7ACA"/>
    <w:rsid w:val="00EA2101"/>
    <w:rsid w:val="00EB7052"/>
    <w:rsid w:val="00EE73A1"/>
    <w:rsid w:val="00F75B81"/>
    <w:rsid w:val="00F917AB"/>
    <w:rsid w:val="00FC2C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129A19-DFA1-4695-8F83-CA9248E6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Ari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
    <w:next w:val="Standard"/>
    <w:pPr>
      <w:keepNext/>
      <w:widowControl w:val="0"/>
      <w:autoSpaceDE w:val="0"/>
      <w:jc w:val="center"/>
      <w:outlineLvl w:val="0"/>
    </w:pPr>
    <w:rPr>
      <w:b/>
      <w:bCs/>
      <w:sz w:val="36"/>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spacing w:after="120"/>
    </w:pPr>
  </w:style>
  <w:style w:type="paragraph" w:styleId="Seznam">
    <w:name w:val="List"/>
    <w:basedOn w:val="Textbody"/>
    <w:rPr>
      <w:rFonts w:cs="Tahoma"/>
    </w:rPr>
  </w:style>
  <w:style w:type="paragraph" w:styleId="Titulek">
    <w:name w:val="caption"/>
    <w:basedOn w:val="Standard"/>
    <w:pPr>
      <w:suppressLineNumbers/>
      <w:spacing w:before="120" w:after="120"/>
    </w:pPr>
    <w:rPr>
      <w:rFonts w:cs="Tahoma"/>
      <w:i/>
      <w:iCs/>
      <w:sz w:val="20"/>
      <w:szCs w:val="20"/>
    </w:rPr>
  </w:style>
  <w:style w:type="paragraph" w:customStyle="1" w:styleId="Index">
    <w:name w:val="Index"/>
    <w:basedOn w:val="Standard"/>
    <w:pPr>
      <w:suppressLineNumbers/>
    </w:pPr>
    <w:rPr>
      <w:rFonts w:cs="Tahoma"/>
    </w:rPr>
  </w:style>
  <w:style w:type="paragraph" w:customStyle="1" w:styleId="WW-Popisek">
    <w:name w:val="WW-Popisek"/>
    <w:basedOn w:val="Standard"/>
    <w:pPr>
      <w:suppressLineNumbers/>
      <w:spacing w:before="120" w:after="120"/>
    </w:pPr>
    <w:rPr>
      <w:rFonts w:cs="Tahoma"/>
      <w:i/>
      <w:iCs/>
      <w:sz w:val="20"/>
      <w:szCs w:val="20"/>
    </w:rPr>
  </w:style>
  <w:style w:type="paragraph" w:customStyle="1" w:styleId="WW-Rejstk">
    <w:name w:val="WW-Rejstřík"/>
    <w:basedOn w:val="Standard"/>
    <w:pPr>
      <w:suppressLineNumbers/>
    </w:pPr>
    <w:rPr>
      <w:rFonts w:cs="Tahoma"/>
    </w:rPr>
  </w:style>
  <w:style w:type="paragraph" w:customStyle="1" w:styleId="WW-Nadpis">
    <w:name w:val="WW-Nadpis"/>
    <w:basedOn w:val="Standard"/>
    <w:next w:val="Textbody"/>
    <w:pPr>
      <w:keepNext/>
      <w:spacing w:before="240" w:after="120"/>
    </w:pPr>
    <w:rPr>
      <w:rFonts w:ascii="Arial" w:eastAsia="MS Mincho" w:hAnsi="Arial" w:cs="Tahoma"/>
      <w:sz w:val="28"/>
      <w:szCs w:val="28"/>
    </w:rPr>
  </w:style>
  <w:style w:type="paragraph" w:customStyle="1" w:styleId="WW-Popisek1">
    <w:name w:val="WW-Popisek1"/>
    <w:basedOn w:val="Standard"/>
    <w:pPr>
      <w:suppressLineNumbers/>
      <w:spacing w:before="120" w:after="120"/>
    </w:pPr>
    <w:rPr>
      <w:rFonts w:cs="Tahoma"/>
      <w:i/>
      <w:iCs/>
      <w:sz w:val="20"/>
      <w:szCs w:val="20"/>
    </w:rPr>
  </w:style>
  <w:style w:type="paragraph" w:customStyle="1" w:styleId="WW-Rejstk1">
    <w:name w:val="WW-Rejstřík1"/>
    <w:basedOn w:val="Standard"/>
    <w:pPr>
      <w:suppressLineNumbers/>
    </w:pPr>
    <w:rPr>
      <w:rFonts w:cs="Tahoma"/>
    </w:rPr>
  </w:style>
  <w:style w:type="paragraph" w:customStyle="1" w:styleId="WW-Nadpis1">
    <w:name w:val="WW-Nadpis1"/>
    <w:basedOn w:val="Standard"/>
    <w:next w:val="Textbody"/>
    <w:pPr>
      <w:keepNext/>
      <w:spacing w:before="240" w:after="120"/>
    </w:pPr>
    <w:rPr>
      <w:rFonts w:ascii="Arial" w:eastAsia="MS Mincho" w:hAnsi="Arial" w:cs="Tahoma"/>
      <w:sz w:val="28"/>
      <w:szCs w:val="28"/>
    </w:rPr>
  </w:style>
  <w:style w:type="paragraph" w:customStyle="1" w:styleId="WW-Popisek11">
    <w:name w:val="WW-Popisek11"/>
    <w:basedOn w:val="Standard"/>
    <w:pPr>
      <w:suppressLineNumbers/>
      <w:spacing w:before="120" w:after="120"/>
    </w:pPr>
    <w:rPr>
      <w:rFonts w:cs="Tahoma"/>
      <w:i/>
      <w:iCs/>
      <w:sz w:val="20"/>
      <w:szCs w:val="20"/>
    </w:rPr>
  </w:style>
  <w:style w:type="paragraph" w:customStyle="1" w:styleId="WW-Rejstk11">
    <w:name w:val="WW-Rejstřík11"/>
    <w:basedOn w:val="Standard"/>
    <w:pPr>
      <w:suppressLineNumbers/>
    </w:pPr>
    <w:rPr>
      <w:rFonts w:cs="Tahoma"/>
    </w:rPr>
  </w:style>
  <w:style w:type="paragraph" w:customStyle="1" w:styleId="WW-Nadpis11">
    <w:name w:val="WW-Nadpis11"/>
    <w:basedOn w:val="Standard"/>
    <w:next w:val="Textbody"/>
    <w:pPr>
      <w:keepNext/>
      <w:spacing w:before="240" w:after="120"/>
    </w:pPr>
    <w:rPr>
      <w:rFonts w:ascii="Arial" w:eastAsia="MS Mincho" w:hAnsi="Arial" w:cs="Tahoma"/>
      <w:sz w:val="28"/>
      <w:szCs w:val="28"/>
    </w:rPr>
  </w:style>
  <w:style w:type="paragraph" w:customStyle="1" w:styleId="WW-Popisek111">
    <w:name w:val="WW-Popisek111"/>
    <w:basedOn w:val="Standard"/>
    <w:pPr>
      <w:suppressLineNumbers/>
      <w:spacing w:before="120" w:after="120"/>
    </w:pPr>
    <w:rPr>
      <w:rFonts w:cs="Tahoma"/>
      <w:i/>
      <w:iCs/>
      <w:sz w:val="20"/>
      <w:szCs w:val="20"/>
    </w:rPr>
  </w:style>
  <w:style w:type="paragraph" w:customStyle="1" w:styleId="WW-Rejstk111">
    <w:name w:val="WW-Rejstřík111"/>
    <w:basedOn w:val="Standard"/>
    <w:pPr>
      <w:suppressLineNumbers/>
    </w:pPr>
    <w:rPr>
      <w:rFonts w:cs="Tahoma"/>
    </w:rPr>
  </w:style>
  <w:style w:type="paragraph" w:customStyle="1" w:styleId="WW-Nadpis111">
    <w:name w:val="WW-Nadpis111"/>
    <w:basedOn w:val="Standard"/>
    <w:next w:val="Textbody"/>
    <w:pPr>
      <w:keepNext/>
      <w:spacing w:before="240" w:after="120"/>
    </w:pPr>
    <w:rPr>
      <w:rFonts w:ascii="Arial" w:eastAsia="MS Mincho" w:hAnsi="Arial" w:cs="Tahoma"/>
      <w:sz w:val="28"/>
      <w:szCs w:val="28"/>
    </w:rPr>
  </w:style>
  <w:style w:type="paragraph" w:customStyle="1" w:styleId="WW-Popisek1111">
    <w:name w:val="WW-Popisek1111"/>
    <w:basedOn w:val="Standard"/>
    <w:pPr>
      <w:suppressLineNumbers/>
      <w:spacing w:before="120" w:after="120"/>
    </w:pPr>
    <w:rPr>
      <w:rFonts w:cs="Tahoma"/>
      <w:i/>
      <w:iCs/>
      <w:sz w:val="20"/>
      <w:szCs w:val="20"/>
    </w:rPr>
  </w:style>
  <w:style w:type="paragraph" w:customStyle="1" w:styleId="WW-Rejstk1111">
    <w:name w:val="WW-Rejstřík1111"/>
    <w:basedOn w:val="Standard"/>
    <w:pPr>
      <w:suppressLineNumbers/>
    </w:pPr>
    <w:rPr>
      <w:rFonts w:cs="Tahoma"/>
    </w:rPr>
  </w:style>
  <w:style w:type="paragraph" w:customStyle="1" w:styleId="WW-Nadpis1111">
    <w:name w:val="WW-Nadpis1111"/>
    <w:basedOn w:val="Standard"/>
    <w:next w:val="Textbody"/>
    <w:pPr>
      <w:keepNext/>
      <w:spacing w:before="240" w:after="120"/>
    </w:pPr>
    <w:rPr>
      <w:rFonts w:ascii="Arial" w:eastAsia="MS Mincho" w:hAnsi="Arial" w:cs="Tahoma"/>
      <w:sz w:val="28"/>
      <w:szCs w:val="28"/>
    </w:rPr>
  </w:style>
  <w:style w:type="paragraph" w:customStyle="1" w:styleId="WW-Popisek11111">
    <w:name w:val="WW-Popisek11111"/>
    <w:basedOn w:val="Standard"/>
    <w:pPr>
      <w:suppressLineNumbers/>
      <w:spacing w:before="120" w:after="120"/>
    </w:pPr>
    <w:rPr>
      <w:rFonts w:cs="Tahoma"/>
      <w:i/>
      <w:iCs/>
      <w:sz w:val="20"/>
      <w:szCs w:val="20"/>
    </w:rPr>
  </w:style>
  <w:style w:type="paragraph" w:customStyle="1" w:styleId="WW-Rejstk11111">
    <w:name w:val="WW-Rejstřík11111"/>
    <w:basedOn w:val="Standard"/>
    <w:pPr>
      <w:suppressLineNumbers/>
    </w:pPr>
    <w:rPr>
      <w:rFonts w:cs="Tahoma"/>
    </w:rPr>
  </w:style>
  <w:style w:type="paragraph" w:customStyle="1" w:styleId="WW-Nadpis11111">
    <w:name w:val="WW-Nadpis11111"/>
    <w:basedOn w:val="Standard"/>
    <w:next w:val="Textbody"/>
    <w:pPr>
      <w:keepNext/>
      <w:spacing w:before="240" w:after="120"/>
    </w:pPr>
    <w:rPr>
      <w:rFonts w:ascii="Arial" w:eastAsia="MS Mincho" w:hAnsi="Arial" w:cs="Tahoma"/>
      <w:sz w:val="28"/>
      <w:szCs w:val="28"/>
    </w:rPr>
  </w:style>
  <w:style w:type="paragraph" w:customStyle="1" w:styleId="WW-Popisek111111">
    <w:name w:val="WW-Popisek111111"/>
    <w:basedOn w:val="Standard"/>
    <w:pPr>
      <w:suppressLineNumbers/>
      <w:spacing w:before="120" w:after="120"/>
    </w:pPr>
    <w:rPr>
      <w:rFonts w:cs="Tahoma"/>
      <w:i/>
      <w:iCs/>
      <w:sz w:val="20"/>
      <w:szCs w:val="20"/>
    </w:rPr>
  </w:style>
  <w:style w:type="paragraph" w:customStyle="1" w:styleId="WW-Rejstk111111">
    <w:name w:val="WW-Rejstřík111111"/>
    <w:basedOn w:val="Standard"/>
    <w:pPr>
      <w:suppressLineNumbers/>
    </w:pPr>
    <w:rPr>
      <w:rFonts w:cs="Tahoma"/>
    </w:rPr>
  </w:style>
  <w:style w:type="paragraph" w:customStyle="1" w:styleId="WW-Nadpis111111">
    <w:name w:val="WW-Nadpis111111"/>
    <w:basedOn w:val="Standard"/>
    <w:next w:val="Textbody"/>
    <w:pPr>
      <w:keepNext/>
      <w:spacing w:before="240" w:after="120"/>
    </w:pPr>
    <w:rPr>
      <w:rFonts w:ascii="Arial" w:eastAsia="MS Mincho" w:hAnsi="Arial" w:cs="Tahoma"/>
      <w:sz w:val="28"/>
      <w:szCs w:val="28"/>
    </w:rPr>
  </w:style>
  <w:style w:type="paragraph" w:customStyle="1" w:styleId="WW-Popisek1111111">
    <w:name w:val="WW-Popisek1111111"/>
    <w:basedOn w:val="Standard"/>
    <w:pPr>
      <w:suppressLineNumbers/>
      <w:spacing w:before="120" w:after="120"/>
    </w:pPr>
    <w:rPr>
      <w:rFonts w:cs="Tahoma"/>
      <w:i/>
      <w:iCs/>
      <w:sz w:val="20"/>
      <w:szCs w:val="20"/>
    </w:rPr>
  </w:style>
  <w:style w:type="paragraph" w:customStyle="1" w:styleId="WW-Rejstk1111111">
    <w:name w:val="WW-Rejstřík1111111"/>
    <w:basedOn w:val="Standard"/>
    <w:pPr>
      <w:suppressLineNumbers/>
    </w:pPr>
    <w:rPr>
      <w:rFonts w:cs="Tahoma"/>
    </w:rPr>
  </w:style>
  <w:style w:type="paragraph" w:customStyle="1" w:styleId="WW-Nadpis1111111">
    <w:name w:val="WW-Nadpis1111111"/>
    <w:basedOn w:val="Standard"/>
    <w:next w:val="Textbody"/>
    <w:pPr>
      <w:keepNext/>
      <w:spacing w:before="240" w:after="120"/>
    </w:pPr>
    <w:rPr>
      <w:rFonts w:ascii="Arial" w:eastAsia="MS Mincho" w:hAnsi="Arial" w:cs="Tahoma"/>
      <w:sz w:val="28"/>
      <w:szCs w:val="28"/>
    </w:rPr>
  </w:style>
  <w:style w:type="paragraph" w:customStyle="1" w:styleId="WW-Popisek11111111">
    <w:name w:val="WW-Popisek11111111"/>
    <w:basedOn w:val="Standard"/>
    <w:pPr>
      <w:suppressLineNumbers/>
      <w:spacing w:before="120" w:after="120"/>
    </w:pPr>
    <w:rPr>
      <w:rFonts w:cs="Tahoma"/>
      <w:i/>
      <w:iCs/>
      <w:sz w:val="20"/>
      <w:szCs w:val="20"/>
    </w:rPr>
  </w:style>
  <w:style w:type="paragraph" w:customStyle="1" w:styleId="WW-Rejstk11111111">
    <w:name w:val="WW-Rejstřík11111111"/>
    <w:basedOn w:val="Standard"/>
    <w:pPr>
      <w:suppressLineNumbers/>
    </w:pPr>
    <w:rPr>
      <w:rFonts w:cs="Tahoma"/>
    </w:rPr>
  </w:style>
  <w:style w:type="paragraph" w:customStyle="1" w:styleId="WW-Nadpis11111111">
    <w:name w:val="WW-Nadpis11111111"/>
    <w:basedOn w:val="Standard"/>
    <w:next w:val="Textbody"/>
    <w:pPr>
      <w:keepNext/>
      <w:spacing w:before="240" w:after="120"/>
    </w:pPr>
    <w:rPr>
      <w:rFonts w:ascii="Arial" w:eastAsia="MS Mincho" w:hAnsi="Arial" w:cs="Tahoma"/>
      <w:sz w:val="28"/>
      <w:szCs w:val="28"/>
    </w:rPr>
  </w:style>
  <w:style w:type="paragraph" w:customStyle="1" w:styleId="WW-Popisek111111111">
    <w:name w:val="WW-Popisek111111111"/>
    <w:basedOn w:val="Standard"/>
    <w:pPr>
      <w:suppressLineNumbers/>
      <w:spacing w:before="120" w:after="120"/>
    </w:pPr>
    <w:rPr>
      <w:rFonts w:cs="Tahoma"/>
      <w:i/>
      <w:iCs/>
      <w:sz w:val="20"/>
      <w:szCs w:val="20"/>
    </w:rPr>
  </w:style>
  <w:style w:type="paragraph" w:customStyle="1" w:styleId="WW-Rejstk111111111">
    <w:name w:val="WW-Rejstřík111111111"/>
    <w:basedOn w:val="Standard"/>
    <w:pPr>
      <w:suppressLineNumbers/>
    </w:pPr>
    <w:rPr>
      <w:rFonts w:cs="Tahoma"/>
    </w:rPr>
  </w:style>
  <w:style w:type="paragraph" w:customStyle="1" w:styleId="WW-Nadpis111111111">
    <w:name w:val="WW-Nadpis111111111"/>
    <w:basedOn w:val="Standard"/>
    <w:next w:val="Textbody"/>
    <w:pPr>
      <w:keepNext/>
      <w:spacing w:before="240" w:after="120"/>
    </w:pPr>
    <w:rPr>
      <w:rFonts w:ascii="Arial" w:eastAsia="MS Mincho" w:hAnsi="Arial" w:cs="Tahoma"/>
      <w:sz w:val="28"/>
      <w:szCs w:val="28"/>
    </w:rPr>
  </w:style>
  <w:style w:type="paragraph" w:customStyle="1" w:styleId="WW-Popisek1111111111">
    <w:name w:val="WW-Popisek1111111111"/>
    <w:basedOn w:val="Standard"/>
    <w:pPr>
      <w:suppressLineNumbers/>
      <w:spacing w:before="120" w:after="120"/>
    </w:pPr>
    <w:rPr>
      <w:rFonts w:cs="Tahoma"/>
      <w:i/>
      <w:iCs/>
      <w:sz w:val="20"/>
      <w:szCs w:val="20"/>
    </w:rPr>
  </w:style>
  <w:style w:type="paragraph" w:customStyle="1" w:styleId="WW-Rejstk1111111111">
    <w:name w:val="WW-Rejstřík1111111111"/>
    <w:basedOn w:val="Standard"/>
    <w:pPr>
      <w:suppressLineNumbers/>
    </w:pPr>
    <w:rPr>
      <w:rFonts w:cs="Tahoma"/>
    </w:rPr>
  </w:style>
  <w:style w:type="paragraph" w:customStyle="1" w:styleId="WW-Nadpis1111111111">
    <w:name w:val="WW-Nadpis1111111111"/>
    <w:basedOn w:val="Standard"/>
    <w:next w:val="Textbody"/>
    <w:pPr>
      <w:keepNext/>
      <w:spacing w:before="240" w:after="120"/>
    </w:pPr>
    <w:rPr>
      <w:rFonts w:ascii="Arial" w:eastAsia="MS Mincho" w:hAnsi="Arial" w:cs="Tahoma"/>
      <w:sz w:val="28"/>
      <w:szCs w:val="28"/>
    </w:rPr>
  </w:style>
  <w:style w:type="paragraph" w:customStyle="1" w:styleId="WW-Popisek11111111111">
    <w:name w:val="WW-Popisek11111111111"/>
    <w:basedOn w:val="Standard"/>
    <w:pPr>
      <w:suppressLineNumbers/>
      <w:spacing w:before="120" w:after="120"/>
    </w:pPr>
    <w:rPr>
      <w:rFonts w:cs="Tahoma"/>
      <w:i/>
      <w:iCs/>
      <w:sz w:val="20"/>
      <w:szCs w:val="20"/>
    </w:rPr>
  </w:style>
  <w:style w:type="paragraph" w:customStyle="1" w:styleId="WW-Rejstk11111111111">
    <w:name w:val="WW-Rejstřík11111111111"/>
    <w:basedOn w:val="Standard"/>
    <w:pPr>
      <w:suppressLineNumbers/>
    </w:pPr>
    <w:rPr>
      <w:rFonts w:cs="Tahoma"/>
    </w:rPr>
  </w:style>
  <w:style w:type="paragraph" w:customStyle="1" w:styleId="WW-Nadpis11111111111">
    <w:name w:val="WW-Nadpis11111111111"/>
    <w:basedOn w:val="Standard"/>
    <w:next w:val="Textbody"/>
    <w:pPr>
      <w:keepNext/>
      <w:spacing w:before="240" w:after="120"/>
    </w:pPr>
    <w:rPr>
      <w:rFonts w:ascii="Arial" w:eastAsia="MS Mincho" w:hAnsi="Arial" w:cs="Tahoma"/>
      <w:sz w:val="28"/>
      <w:szCs w:val="28"/>
    </w:rPr>
  </w:style>
  <w:style w:type="paragraph" w:customStyle="1" w:styleId="WW-Popisek111111111111">
    <w:name w:val="WW-Popisek111111111111"/>
    <w:basedOn w:val="Standard"/>
    <w:pPr>
      <w:suppressLineNumbers/>
      <w:spacing w:before="120" w:after="120"/>
    </w:pPr>
    <w:rPr>
      <w:rFonts w:cs="Tahoma"/>
      <w:i/>
      <w:iCs/>
      <w:sz w:val="20"/>
      <w:szCs w:val="20"/>
    </w:rPr>
  </w:style>
  <w:style w:type="paragraph" w:customStyle="1" w:styleId="WW-Rejstk111111111111">
    <w:name w:val="WW-Rejstřík111111111111"/>
    <w:basedOn w:val="Standard"/>
    <w:pPr>
      <w:suppressLineNumbers/>
    </w:pPr>
    <w:rPr>
      <w:rFonts w:cs="Tahoma"/>
    </w:rPr>
  </w:style>
  <w:style w:type="paragraph" w:customStyle="1" w:styleId="WW-Nadpis111111111111">
    <w:name w:val="WW-Nadpis111111111111"/>
    <w:basedOn w:val="Standard"/>
    <w:next w:val="Textbody"/>
    <w:pPr>
      <w:keepNext/>
      <w:spacing w:before="240" w:after="120"/>
    </w:pPr>
    <w:rPr>
      <w:rFonts w:ascii="Arial" w:eastAsia="MS Mincho" w:hAnsi="Arial" w:cs="Tahoma"/>
      <w:sz w:val="28"/>
      <w:szCs w:val="28"/>
    </w:rPr>
  </w:style>
  <w:style w:type="paragraph" w:customStyle="1" w:styleId="WW-Popisek1111111111111">
    <w:name w:val="WW-Popisek1111111111111"/>
    <w:basedOn w:val="Standard"/>
    <w:pPr>
      <w:suppressLineNumbers/>
      <w:spacing w:before="120" w:after="120"/>
    </w:pPr>
    <w:rPr>
      <w:rFonts w:cs="Tahoma"/>
      <w:i/>
      <w:iCs/>
      <w:sz w:val="20"/>
      <w:szCs w:val="20"/>
    </w:rPr>
  </w:style>
  <w:style w:type="paragraph" w:customStyle="1" w:styleId="WW-Rejstk1111111111111">
    <w:name w:val="WW-Rejstřík1111111111111"/>
    <w:basedOn w:val="Standard"/>
    <w:pPr>
      <w:suppressLineNumbers/>
    </w:pPr>
    <w:rPr>
      <w:rFonts w:cs="Tahoma"/>
    </w:rPr>
  </w:style>
  <w:style w:type="paragraph" w:customStyle="1" w:styleId="WW-Nadpis1111111111111">
    <w:name w:val="WW-Nadpis1111111111111"/>
    <w:basedOn w:val="Standard"/>
    <w:next w:val="Textbody"/>
    <w:pPr>
      <w:keepNext/>
      <w:spacing w:before="240" w:after="120"/>
    </w:pPr>
    <w:rPr>
      <w:rFonts w:ascii="Arial" w:eastAsia="MS Mincho" w:hAnsi="Arial" w:cs="Tahoma"/>
      <w:sz w:val="28"/>
      <w:szCs w:val="28"/>
    </w:rPr>
  </w:style>
  <w:style w:type="paragraph" w:customStyle="1" w:styleId="WW-Popisek11111111111111">
    <w:name w:val="WW-Popisek11111111111111"/>
    <w:basedOn w:val="Standard"/>
    <w:pPr>
      <w:suppressLineNumbers/>
      <w:spacing w:before="120" w:after="120"/>
    </w:pPr>
    <w:rPr>
      <w:rFonts w:cs="Tahoma"/>
      <w:i/>
      <w:iCs/>
      <w:sz w:val="20"/>
      <w:szCs w:val="20"/>
    </w:rPr>
  </w:style>
  <w:style w:type="paragraph" w:customStyle="1" w:styleId="WW-Rejstk11111111111111">
    <w:name w:val="WW-Rejstřík11111111111111"/>
    <w:basedOn w:val="Standard"/>
    <w:pPr>
      <w:suppressLineNumbers/>
    </w:pPr>
    <w:rPr>
      <w:rFonts w:cs="Tahoma"/>
    </w:rPr>
  </w:style>
  <w:style w:type="paragraph" w:customStyle="1" w:styleId="WW-Nadpis11111111111111">
    <w:name w:val="WW-Nadpis11111111111111"/>
    <w:basedOn w:val="Standard"/>
    <w:next w:val="Textbody"/>
    <w:pPr>
      <w:keepNext/>
      <w:spacing w:before="240" w:after="120"/>
    </w:pPr>
    <w:rPr>
      <w:rFonts w:ascii="Arial" w:eastAsia="MS Mincho" w:hAnsi="Arial" w:cs="Tahoma"/>
      <w:sz w:val="28"/>
      <w:szCs w:val="28"/>
    </w:rPr>
  </w:style>
  <w:style w:type="paragraph" w:customStyle="1" w:styleId="WW-Popisek111111111111111">
    <w:name w:val="WW-Popisek111111111111111"/>
    <w:basedOn w:val="Standard"/>
    <w:pPr>
      <w:suppressLineNumbers/>
      <w:spacing w:before="120" w:after="120"/>
    </w:pPr>
    <w:rPr>
      <w:rFonts w:cs="Tahoma"/>
      <w:i/>
      <w:iCs/>
      <w:sz w:val="20"/>
      <w:szCs w:val="20"/>
    </w:rPr>
  </w:style>
  <w:style w:type="paragraph" w:customStyle="1" w:styleId="WW-Rejstk111111111111111">
    <w:name w:val="WW-Rejstřík111111111111111"/>
    <w:basedOn w:val="Standard"/>
    <w:pPr>
      <w:suppressLineNumbers/>
    </w:pPr>
    <w:rPr>
      <w:rFonts w:cs="Tahoma"/>
    </w:rPr>
  </w:style>
  <w:style w:type="paragraph" w:customStyle="1" w:styleId="WW-Nadpis111111111111111">
    <w:name w:val="WW-Nadpis111111111111111"/>
    <w:basedOn w:val="Standard"/>
    <w:next w:val="Textbody"/>
    <w:pPr>
      <w:keepNext/>
      <w:spacing w:before="240" w:after="120"/>
    </w:pPr>
    <w:rPr>
      <w:rFonts w:ascii="Arial" w:eastAsia="MS Mincho" w:hAnsi="Arial" w:cs="Tahoma"/>
      <w:sz w:val="28"/>
      <w:szCs w:val="28"/>
    </w:rPr>
  </w:style>
  <w:style w:type="paragraph" w:customStyle="1" w:styleId="WW-Popisek1111111111111111">
    <w:name w:val="WW-Popisek1111111111111111"/>
    <w:basedOn w:val="Standard"/>
    <w:pPr>
      <w:suppressLineNumbers/>
      <w:spacing w:before="120" w:after="120"/>
    </w:pPr>
    <w:rPr>
      <w:rFonts w:cs="Tahoma"/>
      <w:i/>
      <w:iCs/>
      <w:sz w:val="20"/>
      <w:szCs w:val="20"/>
    </w:rPr>
  </w:style>
  <w:style w:type="paragraph" w:customStyle="1" w:styleId="WW-Rejstk1111111111111111">
    <w:name w:val="WW-Rejstřík1111111111111111"/>
    <w:basedOn w:val="Standard"/>
    <w:pPr>
      <w:suppressLineNumbers/>
    </w:pPr>
    <w:rPr>
      <w:rFonts w:cs="Tahoma"/>
    </w:rPr>
  </w:style>
  <w:style w:type="paragraph" w:customStyle="1" w:styleId="WW-Nadpis1111111111111111">
    <w:name w:val="WW-Nadpis1111111111111111"/>
    <w:basedOn w:val="Standard"/>
    <w:next w:val="Textbody"/>
    <w:pPr>
      <w:keepNext/>
      <w:spacing w:before="240" w:after="120"/>
    </w:pPr>
    <w:rPr>
      <w:rFonts w:ascii="Arial" w:eastAsia="MS Mincho" w:hAnsi="Arial" w:cs="Tahoma"/>
      <w:sz w:val="28"/>
      <w:szCs w:val="28"/>
    </w:rPr>
  </w:style>
  <w:style w:type="paragraph" w:customStyle="1" w:styleId="WW-Popisek11111111111111111">
    <w:name w:val="WW-Popisek11111111111111111"/>
    <w:basedOn w:val="Standard"/>
    <w:pPr>
      <w:suppressLineNumbers/>
      <w:spacing w:before="120" w:after="120"/>
    </w:pPr>
    <w:rPr>
      <w:rFonts w:cs="Tahoma"/>
      <w:i/>
      <w:iCs/>
      <w:sz w:val="20"/>
      <w:szCs w:val="20"/>
    </w:rPr>
  </w:style>
  <w:style w:type="paragraph" w:customStyle="1" w:styleId="WW-Rejstk11111111111111111">
    <w:name w:val="WW-Rejstřík11111111111111111"/>
    <w:basedOn w:val="Standard"/>
    <w:pPr>
      <w:suppressLineNumbers/>
    </w:pPr>
    <w:rPr>
      <w:rFonts w:cs="Tahoma"/>
    </w:rPr>
  </w:style>
  <w:style w:type="paragraph" w:customStyle="1" w:styleId="WW-Nadpis11111111111111111">
    <w:name w:val="WW-Nadpis11111111111111111"/>
    <w:basedOn w:val="Standard"/>
    <w:next w:val="Textbody"/>
    <w:pPr>
      <w:keepNext/>
      <w:spacing w:before="240" w:after="120"/>
    </w:pPr>
    <w:rPr>
      <w:rFonts w:ascii="Arial" w:eastAsia="MS Mincho" w:hAnsi="Arial" w:cs="Tahoma"/>
      <w:sz w:val="28"/>
      <w:szCs w:val="28"/>
    </w:rPr>
  </w:style>
  <w:style w:type="paragraph" w:customStyle="1" w:styleId="WW-Popisek111111111111111111">
    <w:name w:val="WW-Popisek111111111111111111"/>
    <w:basedOn w:val="Standard"/>
    <w:pPr>
      <w:suppressLineNumbers/>
      <w:spacing w:before="120" w:after="120"/>
    </w:pPr>
    <w:rPr>
      <w:rFonts w:cs="Tahoma"/>
      <w:i/>
      <w:iCs/>
      <w:sz w:val="20"/>
      <w:szCs w:val="20"/>
    </w:rPr>
  </w:style>
  <w:style w:type="paragraph" w:customStyle="1" w:styleId="WW-Rejstk111111111111111111">
    <w:name w:val="WW-Rejstřík111111111111111111"/>
    <w:basedOn w:val="Standard"/>
    <w:pPr>
      <w:suppressLineNumbers/>
    </w:pPr>
    <w:rPr>
      <w:rFonts w:cs="Tahoma"/>
    </w:rPr>
  </w:style>
  <w:style w:type="paragraph" w:customStyle="1" w:styleId="WW-Nadpis111111111111111111">
    <w:name w:val="WW-Nadpis111111111111111111"/>
    <w:basedOn w:val="Standard"/>
    <w:next w:val="Textbody"/>
    <w:pPr>
      <w:keepNext/>
      <w:spacing w:before="240" w:after="120"/>
    </w:pPr>
    <w:rPr>
      <w:rFonts w:ascii="Arial" w:eastAsia="MS Mincho" w:hAnsi="Arial" w:cs="Tahoma"/>
      <w:sz w:val="28"/>
      <w:szCs w:val="28"/>
    </w:rPr>
  </w:style>
  <w:style w:type="paragraph" w:customStyle="1" w:styleId="WW-Popisek1111111111111111111">
    <w:name w:val="WW-Popisek1111111111111111111"/>
    <w:basedOn w:val="Standard"/>
    <w:pPr>
      <w:suppressLineNumbers/>
      <w:spacing w:before="120" w:after="120"/>
    </w:pPr>
    <w:rPr>
      <w:rFonts w:cs="Tahoma"/>
      <w:i/>
      <w:iCs/>
      <w:sz w:val="20"/>
      <w:szCs w:val="20"/>
    </w:rPr>
  </w:style>
  <w:style w:type="paragraph" w:customStyle="1" w:styleId="WW-Rejstk1111111111111111111">
    <w:name w:val="WW-Rejstřík1111111111111111111"/>
    <w:basedOn w:val="Standard"/>
    <w:pPr>
      <w:suppressLineNumbers/>
    </w:pPr>
    <w:rPr>
      <w:rFonts w:cs="Tahoma"/>
    </w:rPr>
  </w:style>
  <w:style w:type="paragraph" w:customStyle="1" w:styleId="WW-Nadpis1111111111111111111">
    <w:name w:val="WW-Nadpis1111111111111111111"/>
    <w:basedOn w:val="Standard"/>
    <w:next w:val="Textbody"/>
    <w:pPr>
      <w:keepNext/>
      <w:spacing w:before="240" w:after="120"/>
    </w:pPr>
    <w:rPr>
      <w:rFonts w:ascii="Arial" w:eastAsia="MS Mincho" w:hAnsi="Arial" w:cs="Tahoma"/>
      <w:sz w:val="28"/>
      <w:szCs w:val="28"/>
    </w:rPr>
  </w:style>
  <w:style w:type="paragraph" w:customStyle="1" w:styleId="WW-Popisek11111111111111111111">
    <w:name w:val="WW-Popisek11111111111111111111"/>
    <w:basedOn w:val="Standard"/>
    <w:pPr>
      <w:suppressLineNumbers/>
      <w:spacing w:before="120" w:after="120"/>
    </w:pPr>
    <w:rPr>
      <w:rFonts w:cs="Tahoma"/>
      <w:i/>
      <w:iCs/>
      <w:sz w:val="20"/>
      <w:szCs w:val="20"/>
    </w:rPr>
  </w:style>
  <w:style w:type="paragraph" w:customStyle="1" w:styleId="WW-Rejstk11111111111111111111">
    <w:name w:val="WW-Rejstřík11111111111111111111"/>
    <w:basedOn w:val="Standard"/>
    <w:pPr>
      <w:suppressLineNumbers/>
    </w:pPr>
    <w:rPr>
      <w:rFonts w:cs="Tahoma"/>
    </w:rPr>
  </w:style>
  <w:style w:type="paragraph" w:customStyle="1" w:styleId="WW-Nadpis11111111111111111111">
    <w:name w:val="WW-Nadpis11111111111111111111"/>
    <w:basedOn w:val="Standard"/>
    <w:next w:val="Textbody"/>
    <w:pPr>
      <w:keepNext/>
      <w:spacing w:before="240" w:after="120"/>
    </w:pPr>
    <w:rPr>
      <w:rFonts w:ascii="Arial" w:eastAsia="MS Mincho" w:hAnsi="Arial" w:cs="Tahoma"/>
      <w:sz w:val="28"/>
      <w:szCs w:val="28"/>
    </w:rPr>
  </w:style>
  <w:style w:type="paragraph" w:styleId="Zpat">
    <w:name w:val="footer"/>
    <w:basedOn w:val="Standard"/>
    <w:pPr>
      <w:suppressLineNumbers/>
      <w:tabs>
        <w:tab w:val="center" w:pos="4818"/>
        <w:tab w:val="right" w:pos="9637"/>
      </w:tabs>
    </w:pPr>
  </w:style>
  <w:style w:type="paragraph" w:styleId="Zhlav">
    <w:name w:val="header"/>
    <w:basedOn w:val="Standard"/>
    <w:pPr>
      <w:suppressLineNumbers/>
      <w:tabs>
        <w:tab w:val="center" w:pos="4818"/>
        <w:tab w:val="right" w:pos="9637"/>
      </w:tabs>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Standardnpsmoodstavce">
    <w:name w:val="WW-Standardní písmo odstavce"/>
  </w:style>
  <w:style w:type="character" w:customStyle="1" w:styleId="NumberingSymbols">
    <w:name w:val="Numbering Symbols"/>
  </w:style>
  <w:style w:type="character" w:customStyle="1" w:styleId="WW-Symbolyproslovn">
    <w:name w:val="WW-Symboly pro číslování"/>
  </w:style>
  <w:style w:type="character" w:customStyle="1" w:styleId="WW-Symbolyproslovn1">
    <w:name w:val="WW-Symboly pro číslování1"/>
  </w:style>
  <w:style w:type="character" w:customStyle="1" w:styleId="Symbolyproodrky">
    <w:name w:val="Symboly pro odrážky"/>
    <w:rPr>
      <w:rFonts w:ascii="StarSymbol, 'Arial Unicode MS'" w:eastAsia="StarSymbol, 'Arial Unicode MS'" w:hAnsi="StarSymbol, 'Arial Unicode MS'" w:cs="StarSymbol, 'Arial Unicode MS'"/>
      <w:sz w:val="18"/>
      <w:szCs w:val="18"/>
    </w:rPr>
  </w:style>
  <w:style w:type="character" w:customStyle="1" w:styleId="WW-Symbolyproodrky">
    <w:name w:val="WW-Symboly pro odrážky"/>
    <w:rPr>
      <w:rFonts w:ascii="StarSymbol, 'Arial Unicode MS'" w:eastAsia="StarSymbol, 'Arial Unicode MS'" w:hAnsi="StarSymbol, 'Arial Unicode MS'" w:cs="StarSymbol, 'Arial Unicode MS'"/>
      <w:sz w:val="18"/>
      <w:szCs w:val="18"/>
    </w:rPr>
  </w:style>
  <w:style w:type="character" w:customStyle="1" w:styleId="WW-Symbolyproodrky1">
    <w:name w:val="WW-Symboly pro odrážky1"/>
    <w:rPr>
      <w:rFonts w:ascii="StarSymbol, 'Arial Unicode MS'" w:eastAsia="StarSymbol, 'Arial Unicode MS'" w:hAnsi="StarSymbol, 'Arial Unicode MS'" w:cs="StarSymbol, 'Arial Unicode MS'"/>
      <w:sz w:val="18"/>
      <w:szCs w:val="18"/>
    </w:rPr>
  </w:style>
  <w:style w:type="character" w:customStyle="1" w:styleId="BulletSymbols">
    <w:name w:val="Bullet Symbols"/>
    <w:rPr>
      <w:rFonts w:ascii="OpenSymbol" w:eastAsia="OpenSymbol" w:hAnsi="OpenSymbol" w:cs="OpenSymbol"/>
    </w:rPr>
  </w:style>
  <w:style w:type="numbering" w:customStyle="1" w:styleId="WW8Num1">
    <w:name w:val="WW8Num1"/>
    <w:basedOn w:val="Bezseznamu"/>
    <w:pPr>
      <w:numPr>
        <w:numId w:val="1"/>
      </w:numPr>
    </w:pPr>
  </w:style>
  <w:style w:type="table" w:styleId="Mkatabulky">
    <w:name w:val="Table Grid"/>
    <w:basedOn w:val="Normlntabulka"/>
    <w:uiPriority w:val="39"/>
    <w:rsid w:val="00F91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E73A1"/>
    <w:rPr>
      <w:rFonts w:ascii="Segoe UI" w:hAnsi="Segoe UI" w:cs="Mangal"/>
      <w:sz w:val="18"/>
      <w:szCs w:val="16"/>
    </w:rPr>
  </w:style>
  <w:style w:type="character" w:customStyle="1" w:styleId="TextbublinyChar">
    <w:name w:val="Text bubliny Char"/>
    <w:basedOn w:val="Standardnpsmoodstavce"/>
    <w:link w:val="Textbubliny"/>
    <w:uiPriority w:val="99"/>
    <w:semiHidden/>
    <w:rsid w:val="00EE73A1"/>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42F7C-F62A-4510-8C55-CF8167891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1987</Words>
  <Characters>11728</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Ř Á D  V E Ř E J N É H O  P O H Ř E B I Š T Ě</vt:lpstr>
    </vt:vector>
  </TitlesOfParts>
  <Company/>
  <LinksUpToDate>false</LinksUpToDate>
  <CharactersWithSpaces>13688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Ř Á D  V E Ř E J N É H O  P O H Ř E B I Š T Ě</dc:title>
  <dc:creator>Voříšková Jitka</dc:creator>
  <cp:lastModifiedBy>Voříšková Jitka</cp:lastModifiedBy>
  <cp:revision>4</cp:revision>
  <cp:lastPrinted>2020-04-08T13:36:00Z</cp:lastPrinted>
  <dcterms:created xsi:type="dcterms:W3CDTF">2020-06-16T09:42:00Z</dcterms:created>
  <dcterms:modified xsi:type="dcterms:W3CDTF">2020-06-16T09:48:00Z</dcterms:modified>
</cp:coreProperties>
</file>