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DE" w:rsidRDefault="00C51BDE" w:rsidP="00C51BDE">
      <w:pPr>
        <w:pStyle w:val="Nzev"/>
        <w:spacing w:before="0"/>
        <w:rPr>
          <w:color w:val="auto"/>
        </w:rPr>
      </w:pPr>
    </w:p>
    <w:p w:rsidR="00A74CB9" w:rsidRPr="00602225" w:rsidRDefault="00A74CB9" w:rsidP="00A74CB9">
      <w:pPr>
        <w:pStyle w:val="Zkladntext"/>
        <w:rPr>
          <w:b/>
          <w:sz w:val="32"/>
          <w:szCs w:val="32"/>
        </w:rPr>
      </w:pPr>
    </w:p>
    <w:p w:rsidR="00A74CB9" w:rsidRDefault="00A74CB9" w:rsidP="00A74CB9">
      <w:pPr>
        <w:pStyle w:val="Zkladntex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3EAB54" wp14:editId="083F6F37">
            <wp:simplePos x="0" y="0"/>
            <wp:positionH relativeFrom="margin">
              <wp:posOffset>0</wp:posOffset>
            </wp:positionH>
            <wp:positionV relativeFrom="paragraph">
              <wp:posOffset>161290</wp:posOffset>
            </wp:positionV>
            <wp:extent cx="528955" cy="593725"/>
            <wp:effectExtent l="0" t="0" r="4445" b="0"/>
            <wp:wrapTight wrapText="bothSides">
              <wp:wrapPolygon edited="0">
                <wp:start x="0" y="0"/>
                <wp:lineTo x="0" y="18019"/>
                <wp:lineTo x="4667" y="20791"/>
                <wp:lineTo x="16336" y="20791"/>
                <wp:lineTo x="21004" y="18019"/>
                <wp:lineTo x="21004" y="0"/>
                <wp:lineTo x="0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MĚSTSKÁ ČÁST PRAHA-KUNRATICE</w:t>
      </w:r>
    </w:p>
    <w:p w:rsidR="00A74CB9" w:rsidRPr="00602225" w:rsidRDefault="00A74CB9" w:rsidP="00A74CB9">
      <w:pPr>
        <w:pStyle w:val="Zkladntext"/>
        <w:rPr>
          <w:b/>
          <w:sz w:val="32"/>
          <w:szCs w:val="32"/>
        </w:rPr>
      </w:pPr>
      <w:r>
        <w:rPr>
          <w:b/>
          <w:sz w:val="32"/>
          <w:szCs w:val="32"/>
        </w:rPr>
        <w:t>ÚŘAD MĚSTSKÉ ČÁSTI</w:t>
      </w:r>
    </w:p>
    <w:p w:rsidR="00A74CB9" w:rsidRPr="00602225" w:rsidRDefault="00A74CB9" w:rsidP="00A74CB9">
      <w:pPr>
        <w:pStyle w:val="Zkladntext"/>
        <w:rPr>
          <w:b/>
          <w:sz w:val="32"/>
          <w:szCs w:val="32"/>
        </w:rPr>
      </w:pPr>
    </w:p>
    <w:p w:rsidR="00A74CB9" w:rsidRPr="00602225" w:rsidRDefault="00A74CB9" w:rsidP="00A74CB9">
      <w:pPr>
        <w:pStyle w:val="Zkladntext"/>
        <w:rPr>
          <w:b/>
          <w:sz w:val="32"/>
          <w:szCs w:val="32"/>
        </w:rPr>
      </w:pPr>
    </w:p>
    <w:p w:rsidR="00A74CB9" w:rsidRDefault="00A74CB9" w:rsidP="00A74CB9">
      <w:pPr>
        <w:pStyle w:val="Zhlav"/>
        <w:jc w:val="center"/>
        <w:rPr>
          <w:b/>
          <w:sz w:val="40"/>
          <w:szCs w:val="40"/>
        </w:rPr>
      </w:pPr>
      <w:r w:rsidRPr="00602225">
        <w:rPr>
          <w:b/>
          <w:sz w:val="40"/>
          <w:szCs w:val="40"/>
        </w:rPr>
        <w:t xml:space="preserve">VNITŘNÍ </w:t>
      </w:r>
      <w:r>
        <w:rPr>
          <w:b/>
          <w:sz w:val="40"/>
          <w:szCs w:val="40"/>
        </w:rPr>
        <w:t>SMĚRNICE</w:t>
      </w:r>
    </w:p>
    <w:p w:rsidR="00A74CB9" w:rsidRPr="00602225" w:rsidRDefault="00A74CB9" w:rsidP="00A74CB9">
      <w:pPr>
        <w:pStyle w:val="Zhlav"/>
        <w:jc w:val="center"/>
        <w:rPr>
          <w:b/>
          <w:sz w:val="40"/>
          <w:szCs w:val="40"/>
        </w:rPr>
      </w:pPr>
      <w:r>
        <w:rPr>
          <w:b/>
          <w:sz w:val="40"/>
        </w:rPr>
        <w:t>NA OCHRANU OSOBNÍCH ÚDAJŮ</w:t>
      </w:r>
    </w:p>
    <w:p w:rsidR="00A74CB9" w:rsidRPr="00602225" w:rsidRDefault="00A74CB9" w:rsidP="00A74CB9">
      <w:pPr>
        <w:pStyle w:val="Zhlav"/>
        <w:jc w:val="center"/>
        <w:rPr>
          <w:b/>
          <w:sz w:val="40"/>
          <w:szCs w:val="40"/>
        </w:rPr>
      </w:pPr>
    </w:p>
    <w:p w:rsidR="00A74CB9" w:rsidRPr="00BC6660" w:rsidRDefault="00A74CB9" w:rsidP="00A74CB9">
      <w:pPr>
        <w:pStyle w:val="Zhlav"/>
        <w:jc w:val="center"/>
      </w:pPr>
    </w:p>
    <w:p w:rsidR="00A74CB9" w:rsidRPr="00BC6660" w:rsidRDefault="00A74CB9" w:rsidP="00A74CB9">
      <w:pPr>
        <w:pStyle w:val="Zhlav"/>
        <w:jc w:val="center"/>
      </w:pPr>
      <w:r w:rsidRPr="00BC6660">
        <w:t xml:space="preserve"> </w:t>
      </w:r>
    </w:p>
    <w:p w:rsidR="00A74CB9" w:rsidRPr="00BC6660" w:rsidRDefault="00A74CB9" w:rsidP="00A74CB9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4671"/>
      </w:tblGrid>
      <w:tr w:rsidR="00A74CB9" w:rsidRPr="006C168F" w:rsidTr="006447E5">
        <w:trPr>
          <w:trHeight w:val="1270"/>
        </w:trPr>
        <w:tc>
          <w:tcPr>
            <w:tcW w:w="3829" w:type="dxa"/>
            <w:shd w:val="clear" w:color="auto" w:fill="auto"/>
          </w:tcPr>
          <w:p w:rsidR="008808A3" w:rsidRDefault="008808A3" w:rsidP="008808A3">
            <w:pPr>
              <w:pStyle w:val="Zkladntext"/>
              <w:spacing w:before="0" w:line="240" w:lineRule="auto"/>
              <w:ind w:right="28"/>
            </w:pPr>
          </w:p>
          <w:p w:rsidR="00A74CB9" w:rsidRPr="00DA6CEA" w:rsidRDefault="00A74CB9" w:rsidP="008808A3">
            <w:pPr>
              <w:pStyle w:val="Zkladntext"/>
              <w:spacing w:before="0" w:line="240" w:lineRule="auto"/>
              <w:ind w:right="28"/>
            </w:pPr>
            <w:r w:rsidRPr="00DA6CEA">
              <w:t>Vydal (schválil)</w:t>
            </w:r>
          </w:p>
        </w:tc>
        <w:tc>
          <w:tcPr>
            <w:tcW w:w="4671" w:type="dxa"/>
            <w:shd w:val="clear" w:color="auto" w:fill="auto"/>
          </w:tcPr>
          <w:p w:rsidR="00A74CB9" w:rsidRDefault="00A74CB9" w:rsidP="008808A3">
            <w:pPr>
              <w:pStyle w:val="Zkladntext"/>
              <w:spacing w:before="0" w:line="240" w:lineRule="auto"/>
              <w:ind w:right="28"/>
              <w:jc w:val="center"/>
            </w:pPr>
            <w:r w:rsidRPr="00DA6CEA">
              <w:t>Ing. Lenka Alinčová, starostka MČ</w:t>
            </w:r>
          </w:p>
          <w:p w:rsidR="00A74CB9" w:rsidRDefault="00A74CB9" w:rsidP="008808A3">
            <w:pPr>
              <w:pStyle w:val="Zkladntext"/>
              <w:spacing w:before="0" w:line="240" w:lineRule="auto"/>
              <w:ind w:right="28"/>
              <w:jc w:val="center"/>
            </w:pPr>
            <w:r w:rsidRPr="00DA6CEA">
              <w:t>Jitka Voříšková, tajemnice ÚMČ</w:t>
            </w:r>
          </w:p>
          <w:p w:rsidR="00A74CB9" w:rsidRPr="00DA6CEA" w:rsidRDefault="00A74CB9" w:rsidP="008808A3">
            <w:pPr>
              <w:pStyle w:val="Zkladntext"/>
              <w:spacing w:before="0" w:line="240" w:lineRule="auto"/>
              <w:ind w:right="28"/>
              <w:jc w:val="center"/>
            </w:pPr>
            <w:r>
              <w:t xml:space="preserve">Porada starostky č. 150 ze dne </w:t>
            </w:r>
            <w:proofErr w:type="gramStart"/>
            <w:r>
              <w:t>23.5.2018</w:t>
            </w:r>
            <w:proofErr w:type="gramEnd"/>
          </w:p>
        </w:tc>
      </w:tr>
      <w:tr w:rsidR="00A74CB9" w:rsidRPr="006C168F" w:rsidTr="006447E5">
        <w:trPr>
          <w:trHeight w:val="393"/>
        </w:trPr>
        <w:tc>
          <w:tcPr>
            <w:tcW w:w="3829" w:type="dxa"/>
            <w:shd w:val="clear" w:color="auto" w:fill="auto"/>
          </w:tcPr>
          <w:p w:rsidR="00A74CB9" w:rsidRPr="00DA6CEA" w:rsidRDefault="00A74CB9" w:rsidP="008808A3">
            <w:pPr>
              <w:pStyle w:val="Zkladntext"/>
              <w:spacing w:before="0" w:line="240" w:lineRule="auto"/>
            </w:pPr>
            <w:r w:rsidRPr="00DA6CEA">
              <w:t>Datum platnosti</w:t>
            </w:r>
          </w:p>
        </w:tc>
        <w:tc>
          <w:tcPr>
            <w:tcW w:w="4671" w:type="dxa"/>
            <w:shd w:val="clear" w:color="auto" w:fill="auto"/>
          </w:tcPr>
          <w:p w:rsidR="00A74CB9" w:rsidRPr="00DA6CEA" w:rsidRDefault="00A74CB9" w:rsidP="008808A3">
            <w:pPr>
              <w:pStyle w:val="Zkladntext"/>
              <w:spacing w:before="0" w:line="240" w:lineRule="auto"/>
              <w:jc w:val="center"/>
            </w:pPr>
            <w:proofErr w:type="gramStart"/>
            <w:r>
              <w:t>25.5.2018</w:t>
            </w:r>
            <w:proofErr w:type="gramEnd"/>
          </w:p>
        </w:tc>
      </w:tr>
      <w:tr w:rsidR="00A74CB9" w:rsidRPr="006C168F" w:rsidTr="006447E5">
        <w:tc>
          <w:tcPr>
            <w:tcW w:w="3829" w:type="dxa"/>
            <w:shd w:val="clear" w:color="auto" w:fill="auto"/>
          </w:tcPr>
          <w:p w:rsidR="00A74CB9" w:rsidRPr="00DA6CEA" w:rsidRDefault="00A74CB9" w:rsidP="008808A3">
            <w:pPr>
              <w:pStyle w:val="Zkladntext"/>
              <w:spacing w:before="0" w:line="240" w:lineRule="auto"/>
            </w:pPr>
            <w:r w:rsidRPr="00DA6CEA">
              <w:t>Datum účinnosti</w:t>
            </w:r>
          </w:p>
        </w:tc>
        <w:tc>
          <w:tcPr>
            <w:tcW w:w="4671" w:type="dxa"/>
            <w:shd w:val="clear" w:color="auto" w:fill="auto"/>
          </w:tcPr>
          <w:p w:rsidR="00A74CB9" w:rsidRPr="00DA6CEA" w:rsidRDefault="00A74CB9" w:rsidP="008808A3">
            <w:pPr>
              <w:pStyle w:val="Zkladntext"/>
              <w:spacing w:before="0" w:line="240" w:lineRule="auto"/>
              <w:jc w:val="center"/>
            </w:pPr>
            <w:proofErr w:type="gramStart"/>
            <w:r>
              <w:t>25.5.2018</w:t>
            </w:r>
            <w:proofErr w:type="gramEnd"/>
          </w:p>
        </w:tc>
      </w:tr>
      <w:tr w:rsidR="00A74CB9" w:rsidRPr="006C168F" w:rsidTr="006447E5">
        <w:tc>
          <w:tcPr>
            <w:tcW w:w="3829" w:type="dxa"/>
            <w:shd w:val="clear" w:color="auto" w:fill="auto"/>
          </w:tcPr>
          <w:p w:rsidR="00A74CB9" w:rsidRPr="00DA6CEA" w:rsidRDefault="00A74CB9" w:rsidP="008808A3">
            <w:pPr>
              <w:pStyle w:val="Zkladntext"/>
              <w:spacing w:before="0" w:line="240" w:lineRule="auto"/>
              <w:ind w:right="28"/>
            </w:pPr>
            <w:r w:rsidRPr="00DA6CEA">
              <w:t>Nový předpis</w:t>
            </w:r>
          </w:p>
        </w:tc>
        <w:tc>
          <w:tcPr>
            <w:tcW w:w="4671" w:type="dxa"/>
            <w:shd w:val="clear" w:color="auto" w:fill="auto"/>
          </w:tcPr>
          <w:p w:rsidR="00A74CB9" w:rsidRPr="00DA6CEA" w:rsidRDefault="00A74CB9" w:rsidP="008808A3">
            <w:pPr>
              <w:pStyle w:val="Zkladntext"/>
              <w:spacing w:before="0" w:line="240" w:lineRule="auto"/>
              <w:ind w:right="28"/>
              <w:jc w:val="center"/>
            </w:pPr>
            <w:r>
              <w:t>ANO</w:t>
            </w:r>
          </w:p>
        </w:tc>
      </w:tr>
      <w:tr w:rsidR="00A74CB9" w:rsidRPr="006C168F" w:rsidTr="006447E5">
        <w:tc>
          <w:tcPr>
            <w:tcW w:w="3829" w:type="dxa"/>
            <w:shd w:val="clear" w:color="auto" w:fill="auto"/>
          </w:tcPr>
          <w:p w:rsidR="00A74CB9" w:rsidRPr="00DA6CEA" w:rsidRDefault="00A74CB9" w:rsidP="008808A3">
            <w:pPr>
              <w:pStyle w:val="Zkladntext"/>
              <w:spacing w:before="0" w:line="240" w:lineRule="auto"/>
            </w:pPr>
            <w:r w:rsidRPr="00DA6CEA">
              <w:t>Číslo novelizace</w:t>
            </w:r>
          </w:p>
        </w:tc>
        <w:tc>
          <w:tcPr>
            <w:tcW w:w="4671" w:type="dxa"/>
            <w:shd w:val="clear" w:color="auto" w:fill="auto"/>
          </w:tcPr>
          <w:p w:rsidR="00A74CB9" w:rsidRPr="00DA6CEA" w:rsidRDefault="00A74CB9" w:rsidP="008808A3">
            <w:pPr>
              <w:pStyle w:val="Zkladntext"/>
              <w:spacing w:before="0" w:line="240" w:lineRule="auto"/>
              <w:jc w:val="center"/>
            </w:pPr>
            <w:r>
              <w:t>-</w:t>
            </w:r>
          </w:p>
        </w:tc>
      </w:tr>
      <w:tr w:rsidR="00A74CB9" w:rsidRPr="006C168F" w:rsidTr="006447E5">
        <w:tc>
          <w:tcPr>
            <w:tcW w:w="3829" w:type="dxa"/>
            <w:shd w:val="clear" w:color="auto" w:fill="auto"/>
          </w:tcPr>
          <w:p w:rsidR="00A74CB9" w:rsidRPr="00DA6CEA" w:rsidRDefault="00A74CB9" w:rsidP="008808A3">
            <w:pPr>
              <w:pStyle w:val="Zkladntext"/>
              <w:spacing w:before="0" w:line="240" w:lineRule="auto"/>
            </w:pPr>
            <w:r w:rsidRPr="00DA6CEA">
              <w:t>Data předchozích novelizací</w:t>
            </w:r>
          </w:p>
        </w:tc>
        <w:tc>
          <w:tcPr>
            <w:tcW w:w="4671" w:type="dxa"/>
            <w:shd w:val="clear" w:color="auto" w:fill="auto"/>
          </w:tcPr>
          <w:p w:rsidR="00A74CB9" w:rsidRPr="00DA6CEA" w:rsidRDefault="00A74CB9" w:rsidP="008808A3">
            <w:pPr>
              <w:pStyle w:val="Zkladntext"/>
              <w:spacing w:before="0" w:line="240" w:lineRule="auto"/>
              <w:jc w:val="center"/>
            </w:pPr>
            <w:r>
              <w:t>-</w:t>
            </w:r>
          </w:p>
        </w:tc>
      </w:tr>
      <w:tr w:rsidR="00A74CB9" w:rsidRPr="0044274F" w:rsidTr="006447E5">
        <w:tc>
          <w:tcPr>
            <w:tcW w:w="3829" w:type="dxa"/>
            <w:shd w:val="clear" w:color="auto" w:fill="auto"/>
          </w:tcPr>
          <w:p w:rsidR="00A74CB9" w:rsidRPr="00DA6CEA" w:rsidRDefault="00A74CB9" w:rsidP="008808A3">
            <w:pPr>
              <w:pStyle w:val="Zkladntext"/>
              <w:spacing w:before="0" w:line="240" w:lineRule="auto"/>
            </w:pPr>
            <w:r w:rsidRPr="00DA6CEA">
              <w:t>Datum podpisu</w:t>
            </w:r>
          </w:p>
        </w:tc>
        <w:tc>
          <w:tcPr>
            <w:tcW w:w="4671" w:type="dxa"/>
            <w:shd w:val="clear" w:color="auto" w:fill="auto"/>
          </w:tcPr>
          <w:p w:rsidR="00A74CB9" w:rsidRPr="0044274F" w:rsidRDefault="00A74CB9" w:rsidP="008808A3">
            <w:pPr>
              <w:pStyle w:val="Zkladntext"/>
              <w:spacing w:before="0" w:line="240" w:lineRule="auto"/>
              <w:jc w:val="center"/>
            </w:pPr>
            <w:proofErr w:type="gramStart"/>
            <w:r>
              <w:t>2</w:t>
            </w:r>
            <w:r w:rsidR="008808A3">
              <w:t>3</w:t>
            </w:r>
            <w:r>
              <w:t>.5.2018</w:t>
            </w:r>
            <w:proofErr w:type="gramEnd"/>
          </w:p>
        </w:tc>
      </w:tr>
      <w:tr w:rsidR="00A74CB9" w:rsidRPr="0044274F" w:rsidTr="006447E5">
        <w:tc>
          <w:tcPr>
            <w:tcW w:w="3829" w:type="dxa"/>
            <w:shd w:val="clear" w:color="auto" w:fill="auto"/>
          </w:tcPr>
          <w:p w:rsidR="00A74CB9" w:rsidRPr="00DA6CEA" w:rsidRDefault="00A74CB9" w:rsidP="008808A3">
            <w:pPr>
              <w:pStyle w:val="Zkladntext"/>
              <w:spacing w:before="0" w:line="240" w:lineRule="auto"/>
            </w:pPr>
            <w:r w:rsidRPr="00DA6CEA">
              <w:t>Zpracoval</w:t>
            </w:r>
          </w:p>
        </w:tc>
        <w:tc>
          <w:tcPr>
            <w:tcW w:w="4671" w:type="dxa"/>
            <w:shd w:val="clear" w:color="auto" w:fill="auto"/>
          </w:tcPr>
          <w:p w:rsidR="00A74CB9" w:rsidRPr="0044274F" w:rsidRDefault="00A74CB9" w:rsidP="008808A3">
            <w:pPr>
              <w:pStyle w:val="Zkladntext"/>
              <w:spacing w:before="0" w:line="240" w:lineRule="auto"/>
              <w:jc w:val="center"/>
            </w:pPr>
            <w:r w:rsidRPr="0044274F">
              <w:t>Jitka Voříšková – tajemnice</w:t>
            </w:r>
          </w:p>
        </w:tc>
      </w:tr>
      <w:tr w:rsidR="00A74CB9" w:rsidRPr="0044274F" w:rsidTr="006447E5">
        <w:tc>
          <w:tcPr>
            <w:tcW w:w="3829" w:type="dxa"/>
            <w:shd w:val="clear" w:color="auto" w:fill="auto"/>
          </w:tcPr>
          <w:p w:rsidR="00A74CB9" w:rsidRPr="00DA6CEA" w:rsidRDefault="00A74CB9" w:rsidP="008808A3">
            <w:pPr>
              <w:pStyle w:val="Zkladntext"/>
              <w:spacing w:before="0" w:line="240" w:lineRule="auto"/>
            </w:pPr>
            <w:r w:rsidRPr="00DA6CEA">
              <w:t>Východiska, zdroje (z čeho předpis vychází):</w:t>
            </w:r>
          </w:p>
        </w:tc>
        <w:tc>
          <w:tcPr>
            <w:tcW w:w="4671" w:type="dxa"/>
            <w:shd w:val="clear" w:color="auto" w:fill="auto"/>
          </w:tcPr>
          <w:p w:rsidR="00A74CB9" w:rsidRPr="0044274F" w:rsidRDefault="00A74CB9" w:rsidP="008808A3">
            <w:pPr>
              <w:pStyle w:val="Zkladntext"/>
              <w:spacing w:before="0" w:line="240" w:lineRule="auto"/>
              <w:ind w:right="28"/>
              <w:jc w:val="center"/>
            </w:pPr>
            <w:r>
              <w:t xml:space="preserve">Nařízení Evropského parlamentu a </w:t>
            </w:r>
            <w:r>
              <w:br/>
              <w:t>Rady EU 2016/679 (</w:t>
            </w:r>
            <w:proofErr w:type="gramStart"/>
            <w:r>
              <w:t>GDPR) (Obecné</w:t>
            </w:r>
            <w:proofErr w:type="gramEnd"/>
            <w:r>
              <w:t xml:space="preserve"> nařízení o ochraně osobních údajů) </w:t>
            </w:r>
          </w:p>
        </w:tc>
      </w:tr>
      <w:tr w:rsidR="00A74CB9" w:rsidRPr="0044274F" w:rsidTr="006447E5">
        <w:tc>
          <w:tcPr>
            <w:tcW w:w="3829" w:type="dxa"/>
            <w:shd w:val="clear" w:color="auto" w:fill="auto"/>
          </w:tcPr>
          <w:p w:rsidR="00A74CB9" w:rsidRPr="00DA6CEA" w:rsidRDefault="00A74CB9" w:rsidP="008808A3">
            <w:pPr>
              <w:pStyle w:val="Zkladntext"/>
              <w:spacing w:before="0" w:line="240" w:lineRule="auto"/>
            </w:pPr>
            <w:r w:rsidRPr="00DA6CEA">
              <w:t>Rozdělovník</w:t>
            </w:r>
          </w:p>
        </w:tc>
        <w:tc>
          <w:tcPr>
            <w:tcW w:w="4671" w:type="dxa"/>
            <w:shd w:val="clear" w:color="auto" w:fill="auto"/>
          </w:tcPr>
          <w:p w:rsidR="00A74CB9" w:rsidRPr="0044274F" w:rsidRDefault="00A74CB9" w:rsidP="008808A3">
            <w:pPr>
              <w:pStyle w:val="Zkladntext"/>
              <w:spacing w:before="0" w:line="240" w:lineRule="auto"/>
              <w:ind w:right="28"/>
              <w:jc w:val="center"/>
            </w:pPr>
            <w:r w:rsidRPr="0044274F">
              <w:t>elektronick</w:t>
            </w:r>
            <w:r w:rsidR="006447E5">
              <w:t>y veřejné složky</w:t>
            </w:r>
            <w:r w:rsidRPr="0044274F">
              <w:t xml:space="preserve"> </w:t>
            </w:r>
            <w:r w:rsidR="006447E5">
              <w:t>(</w:t>
            </w:r>
            <w:r w:rsidRPr="0044274F">
              <w:t>evidence předpisů</w:t>
            </w:r>
            <w:r w:rsidR="0047643D">
              <w:t xml:space="preserve"> a směrnic</w:t>
            </w:r>
            <w:r w:rsidR="006447E5">
              <w:t>)</w:t>
            </w:r>
          </w:p>
          <w:p w:rsidR="00A74CB9" w:rsidRDefault="0047643D" w:rsidP="008808A3">
            <w:pPr>
              <w:pStyle w:val="Zkladntext"/>
              <w:spacing w:before="0" w:line="240" w:lineRule="auto"/>
              <w:ind w:right="28"/>
              <w:jc w:val="center"/>
            </w:pPr>
            <w:r>
              <w:t>e-mailem všichni zaměstnanci a</w:t>
            </w:r>
          </w:p>
          <w:p w:rsidR="0047643D" w:rsidRDefault="0047643D" w:rsidP="008808A3">
            <w:pPr>
              <w:pStyle w:val="Zkladntext"/>
              <w:spacing w:before="0" w:line="240" w:lineRule="auto"/>
              <w:ind w:right="28"/>
              <w:jc w:val="center"/>
            </w:pPr>
            <w:r>
              <w:t>správce počítačové sítě</w:t>
            </w:r>
          </w:p>
          <w:p w:rsidR="006447E5" w:rsidRDefault="006447E5" w:rsidP="008808A3">
            <w:pPr>
              <w:pStyle w:val="Zkladntext"/>
              <w:spacing w:before="0" w:line="240" w:lineRule="auto"/>
              <w:ind w:right="28"/>
              <w:jc w:val="center"/>
            </w:pPr>
            <w:r>
              <w:t>velitel JSDH</w:t>
            </w:r>
          </w:p>
          <w:p w:rsidR="006447E5" w:rsidRPr="0044274F" w:rsidRDefault="006447E5" w:rsidP="008808A3">
            <w:pPr>
              <w:pStyle w:val="Zkladntext"/>
              <w:spacing w:before="0" w:line="240" w:lineRule="auto"/>
              <w:ind w:right="28"/>
              <w:jc w:val="center"/>
            </w:pPr>
            <w:r>
              <w:t>knihovnice</w:t>
            </w:r>
          </w:p>
          <w:p w:rsidR="00A74CB9" w:rsidRPr="0044274F" w:rsidRDefault="00A74CB9" w:rsidP="008808A3">
            <w:pPr>
              <w:pStyle w:val="Zkladntext"/>
              <w:spacing w:before="0" w:line="240" w:lineRule="auto"/>
              <w:ind w:right="28"/>
              <w:jc w:val="center"/>
            </w:pPr>
            <w:r w:rsidRPr="0044274F">
              <w:t>uvolněný starosta a místostarosta</w:t>
            </w:r>
          </w:p>
        </w:tc>
      </w:tr>
      <w:tr w:rsidR="00A74CB9" w:rsidRPr="0044274F" w:rsidTr="006447E5">
        <w:tc>
          <w:tcPr>
            <w:tcW w:w="3829" w:type="dxa"/>
            <w:shd w:val="clear" w:color="auto" w:fill="auto"/>
          </w:tcPr>
          <w:p w:rsidR="00A74CB9" w:rsidRPr="00DA6CEA" w:rsidRDefault="00A74CB9" w:rsidP="008808A3">
            <w:pPr>
              <w:pStyle w:val="Zkladntext"/>
              <w:spacing w:before="0" w:line="240" w:lineRule="auto"/>
            </w:pPr>
            <w:r w:rsidRPr="00DA6CEA">
              <w:t>Originál uložen</w:t>
            </w:r>
          </w:p>
        </w:tc>
        <w:tc>
          <w:tcPr>
            <w:tcW w:w="4671" w:type="dxa"/>
            <w:shd w:val="clear" w:color="auto" w:fill="auto"/>
          </w:tcPr>
          <w:p w:rsidR="00A74CB9" w:rsidRPr="0044274F" w:rsidRDefault="00A74CB9" w:rsidP="008808A3">
            <w:pPr>
              <w:pStyle w:val="Zkladntext"/>
              <w:spacing w:before="0" w:line="240" w:lineRule="auto"/>
              <w:ind w:right="28"/>
              <w:jc w:val="center"/>
            </w:pPr>
            <w:r w:rsidRPr="0044274F">
              <w:t>tajemnice (centrální evidence vnitřních předpisů)</w:t>
            </w:r>
          </w:p>
        </w:tc>
      </w:tr>
    </w:tbl>
    <w:p w:rsidR="00A74CB9" w:rsidRDefault="00A74CB9" w:rsidP="00A74CB9">
      <w:pPr>
        <w:jc w:val="center"/>
        <w:rPr>
          <w:rFonts w:ascii="Arial CE" w:hAnsi="Arial CE" w:cs="Arial CE"/>
          <w:b/>
          <w:bCs/>
          <w:sz w:val="40"/>
          <w:szCs w:val="40"/>
        </w:rPr>
      </w:pPr>
    </w:p>
    <w:p w:rsidR="00A74CB9" w:rsidRDefault="00A74CB9" w:rsidP="00C51BDE">
      <w:pPr>
        <w:pStyle w:val="Nzev"/>
        <w:spacing w:before="0"/>
        <w:rPr>
          <w:color w:val="auto"/>
        </w:rPr>
      </w:pPr>
    </w:p>
    <w:p w:rsidR="00F1198C" w:rsidRDefault="00F1198C" w:rsidP="00C51BDE">
      <w:pPr>
        <w:pStyle w:val="Nzev"/>
        <w:spacing w:before="0"/>
        <w:rPr>
          <w:color w:val="auto"/>
        </w:rPr>
      </w:pPr>
    </w:p>
    <w:p w:rsidR="00F1198C" w:rsidRDefault="00F1198C" w:rsidP="00C51BDE">
      <w:pPr>
        <w:pStyle w:val="Nzev"/>
        <w:spacing w:before="0"/>
        <w:rPr>
          <w:color w:val="auto"/>
        </w:rPr>
      </w:pPr>
    </w:p>
    <w:p w:rsidR="00F1198C" w:rsidRPr="005E1089" w:rsidRDefault="00F1198C" w:rsidP="00C51BDE">
      <w:pPr>
        <w:pStyle w:val="Nzev"/>
        <w:spacing w:before="0"/>
        <w:rPr>
          <w:color w:val="auto"/>
        </w:rPr>
      </w:pPr>
    </w:p>
    <w:p w:rsidR="002C501B" w:rsidRPr="006447E5" w:rsidRDefault="002C501B" w:rsidP="006447E5">
      <w:pPr>
        <w:rPr>
          <w:b/>
        </w:rPr>
      </w:pPr>
    </w:p>
    <w:p w:rsidR="00F1198C" w:rsidRDefault="00501045" w:rsidP="00FB0189">
      <w:pPr>
        <w:shd w:val="clear" w:color="auto" w:fill="FFFFFF"/>
        <w:spacing w:before="365"/>
        <w:ind w:right="58"/>
        <w:jc w:val="center"/>
        <w:rPr>
          <w:b/>
          <w:spacing w:val="-1"/>
          <w:sz w:val="32"/>
          <w:szCs w:val="32"/>
          <w:u w:val="single"/>
        </w:rPr>
      </w:pPr>
      <w:r w:rsidRPr="00FB0189">
        <w:rPr>
          <w:b/>
          <w:spacing w:val="-1"/>
          <w:sz w:val="32"/>
          <w:szCs w:val="32"/>
          <w:u w:val="single"/>
        </w:rPr>
        <w:t>Ochrana osobních údajů</w:t>
      </w:r>
    </w:p>
    <w:p w:rsidR="00F1198C" w:rsidRDefault="00F1198C" w:rsidP="00F1198C"/>
    <w:p w:rsidR="00E316E6" w:rsidRPr="005E1089" w:rsidRDefault="00E316E6" w:rsidP="00C51BDE">
      <w:pPr>
        <w:shd w:val="clear" w:color="auto" w:fill="FFFFFF"/>
        <w:spacing w:before="365"/>
        <w:ind w:right="58"/>
        <w:jc w:val="center"/>
        <w:rPr>
          <w:b/>
          <w:spacing w:val="-1"/>
          <w:sz w:val="28"/>
          <w:szCs w:val="28"/>
        </w:rPr>
      </w:pPr>
      <w:r w:rsidRPr="005E1089">
        <w:rPr>
          <w:b/>
          <w:spacing w:val="-1"/>
          <w:sz w:val="28"/>
          <w:szCs w:val="28"/>
        </w:rPr>
        <w:t>Čl. I</w:t>
      </w:r>
    </w:p>
    <w:p w:rsidR="00E316E6" w:rsidRPr="005E1089" w:rsidRDefault="00501045" w:rsidP="00C51BDE">
      <w:pPr>
        <w:shd w:val="clear" w:color="auto" w:fill="FFFFFF"/>
        <w:spacing w:before="365"/>
        <w:ind w:right="58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Účel směrnice</w:t>
      </w:r>
    </w:p>
    <w:p w:rsidR="00F1198C" w:rsidRDefault="00501045" w:rsidP="00B04B31">
      <w:pPr>
        <w:pStyle w:val="Odstavecseseznamem"/>
        <w:numPr>
          <w:ilvl w:val="1"/>
          <w:numId w:val="3"/>
        </w:numPr>
        <w:jc w:val="both"/>
      </w:pPr>
      <w:r w:rsidRPr="00F1198C">
        <w:t xml:space="preserve">Tato směrnice je vydávána za účelem konkretizace povinností vyplývajících z nařízení Evropského parlamentu a Rady EU č. 2016/679 ze dne 27. dubna 2016 o ochraně fyzických osob v souvislosti se zpracováním osobních údajů a o volném pohybu těchto údajů a o zrušení směrnice 95/46/ES (Obecné nařízení o ochraně osobních údajů, dále jen Nařízení). </w:t>
      </w:r>
    </w:p>
    <w:p w:rsidR="00A325E7" w:rsidRPr="00F1198C" w:rsidRDefault="00A325E7" w:rsidP="00B04B31">
      <w:pPr>
        <w:pStyle w:val="Odstavecseseznamem"/>
        <w:numPr>
          <w:ilvl w:val="1"/>
          <w:numId w:val="3"/>
        </w:numPr>
        <w:jc w:val="both"/>
      </w:pPr>
      <w:r>
        <w:t xml:space="preserve">Směrnice je </w:t>
      </w:r>
      <w:r w:rsidR="0003093A">
        <w:t xml:space="preserve">závazná pro všechny zaměstnance, uvolněného starostu a místostarosty </w:t>
      </w:r>
      <w:r>
        <w:t>M</w:t>
      </w:r>
      <w:r w:rsidR="00AC6D12">
        <w:t xml:space="preserve">Č </w:t>
      </w:r>
      <w:proofErr w:type="gramStart"/>
      <w:r w:rsidR="00AC6D12">
        <w:t>Praha</w:t>
      </w:r>
      <w:proofErr w:type="gramEnd"/>
      <w:r w:rsidR="00AC6D12">
        <w:t>–</w:t>
      </w:r>
      <w:proofErr w:type="gramStart"/>
      <w:r w:rsidR="00F1198C">
        <w:t>Kunratice</w:t>
      </w:r>
      <w:proofErr w:type="gramEnd"/>
      <w:r w:rsidR="0062730B">
        <w:t xml:space="preserve">, JSDH a </w:t>
      </w:r>
      <w:r w:rsidR="00D84B19">
        <w:t xml:space="preserve">Místní veřejnou </w:t>
      </w:r>
      <w:r w:rsidR="0062730B">
        <w:t>knihovnu.</w:t>
      </w:r>
      <w:r w:rsidR="00AC6D12">
        <w:t xml:space="preserve"> </w:t>
      </w:r>
    </w:p>
    <w:p w:rsidR="00E316E6" w:rsidRPr="005E1089" w:rsidRDefault="00691CDE" w:rsidP="00C51BDE">
      <w:pPr>
        <w:shd w:val="clear" w:color="auto" w:fill="FFFFFF"/>
        <w:spacing w:before="365"/>
        <w:ind w:right="58"/>
        <w:jc w:val="center"/>
        <w:rPr>
          <w:b/>
          <w:spacing w:val="-1"/>
          <w:sz w:val="28"/>
          <w:szCs w:val="28"/>
        </w:rPr>
      </w:pPr>
      <w:r w:rsidRPr="005E1089">
        <w:rPr>
          <w:b/>
          <w:spacing w:val="-1"/>
          <w:sz w:val="28"/>
          <w:szCs w:val="28"/>
        </w:rPr>
        <w:t>Čl. II</w:t>
      </w:r>
    </w:p>
    <w:p w:rsidR="00691CDE" w:rsidRPr="005E1089" w:rsidRDefault="00691CDE" w:rsidP="00C51BDE">
      <w:pPr>
        <w:shd w:val="clear" w:color="auto" w:fill="FFFFFF"/>
        <w:spacing w:before="365"/>
        <w:ind w:right="58"/>
        <w:jc w:val="center"/>
        <w:rPr>
          <w:b/>
          <w:sz w:val="28"/>
          <w:szCs w:val="28"/>
        </w:rPr>
      </w:pPr>
      <w:r w:rsidRPr="005E1089">
        <w:rPr>
          <w:b/>
          <w:spacing w:val="-1"/>
          <w:sz w:val="28"/>
          <w:szCs w:val="28"/>
        </w:rPr>
        <w:t>Základní pojmy</w:t>
      </w:r>
    </w:p>
    <w:p w:rsidR="00D84B19" w:rsidRDefault="00501045" w:rsidP="00B04B31">
      <w:pPr>
        <w:pStyle w:val="Odstavecseseznamem"/>
        <w:numPr>
          <w:ilvl w:val="0"/>
          <w:numId w:val="4"/>
        </w:numPr>
        <w:ind w:left="567" w:hanging="567"/>
      </w:pPr>
      <w:r w:rsidRPr="00963E01">
        <w:rPr>
          <w:b/>
        </w:rPr>
        <w:t>Osobním údajem</w:t>
      </w:r>
      <w:r w:rsidRPr="00B260BA">
        <w:t xml:space="preserve"> se rozumí jakákoliv informace, která se týká určené nebo ur</w:t>
      </w:r>
      <w:r>
        <w:t>čitelné fyzické osoby.</w:t>
      </w:r>
    </w:p>
    <w:p w:rsidR="0062730B" w:rsidRDefault="0062730B" w:rsidP="00B04B31">
      <w:pPr>
        <w:pStyle w:val="Odstavecseseznamem"/>
        <w:numPr>
          <w:ilvl w:val="0"/>
          <w:numId w:val="4"/>
        </w:numPr>
        <w:ind w:left="567" w:hanging="567"/>
      </w:pPr>
      <w:r w:rsidRPr="00D84B19">
        <w:rPr>
          <w:b/>
        </w:rPr>
        <w:t>Citlivý údaj</w:t>
      </w:r>
      <w:r w:rsidR="00963E01">
        <w:t xml:space="preserve"> </w:t>
      </w:r>
      <w:r w:rsidRPr="0062730B">
        <w:t>je osobní údaj vypovídající o národnostním, rasovém nebo etnickém původu, politických postojích, členství v politických stranách, náboženství a filozofickém přesvědčení, trestné činnosti, zdravotním stavu a sexuálním životě subjektu údajů.</w:t>
      </w:r>
    </w:p>
    <w:p w:rsidR="00D84B19" w:rsidRDefault="00501045" w:rsidP="00B04B31">
      <w:pPr>
        <w:pStyle w:val="Odstavecseseznamem"/>
        <w:numPr>
          <w:ilvl w:val="0"/>
          <w:numId w:val="4"/>
        </w:numPr>
        <w:ind w:left="567" w:hanging="567"/>
      </w:pPr>
      <w:r w:rsidRPr="00D84B19">
        <w:rPr>
          <w:b/>
        </w:rPr>
        <w:t>Subjektem údajů</w:t>
      </w:r>
      <w:r w:rsidRPr="0062730B">
        <w:t xml:space="preserve"> je ten, o jehož údaje se jedná.</w:t>
      </w:r>
    </w:p>
    <w:p w:rsidR="00501045" w:rsidRDefault="00501045" w:rsidP="00B04B31">
      <w:pPr>
        <w:pStyle w:val="Odstavecseseznamem"/>
        <w:numPr>
          <w:ilvl w:val="0"/>
          <w:numId w:val="4"/>
        </w:numPr>
        <w:ind w:left="567" w:hanging="567"/>
      </w:pPr>
      <w:r w:rsidRPr="00D84B19">
        <w:rPr>
          <w:b/>
        </w:rPr>
        <w:t>Zpracováním osobních údajů</w:t>
      </w:r>
      <w:r w:rsidRPr="00B260BA">
        <w:t xml:space="preserve"> je jakákoliv operace s nimi činěná, tedy včetně jejich zobrazení, uložení v papírové podobě, přepsání do databáze, opravy apod. </w:t>
      </w:r>
    </w:p>
    <w:p w:rsidR="0062730B" w:rsidRDefault="0062730B" w:rsidP="00B04B31">
      <w:pPr>
        <w:pStyle w:val="Odstavecseseznamem"/>
        <w:numPr>
          <w:ilvl w:val="0"/>
          <w:numId w:val="4"/>
        </w:numPr>
        <w:ind w:left="567" w:hanging="567"/>
      </w:pPr>
      <w:r w:rsidRPr="00D84B19">
        <w:rPr>
          <w:b/>
        </w:rPr>
        <w:t>Shromažďování osobních údajů</w:t>
      </w:r>
      <w:r w:rsidRPr="0062730B">
        <w:t xml:space="preserve"> je systematický postup, jehož cílem je získání osobních údajů za účelem jejich dalšího uložení na nosič informací.</w:t>
      </w:r>
    </w:p>
    <w:p w:rsidR="0062730B" w:rsidRDefault="00963E01" w:rsidP="00B04B31">
      <w:pPr>
        <w:pStyle w:val="Odstavecseseznamem"/>
        <w:numPr>
          <w:ilvl w:val="0"/>
          <w:numId w:val="4"/>
        </w:numPr>
        <w:ind w:left="567" w:hanging="567"/>
      </w:pPr>
      <w:r w:rsidRPr="00D84B19">
        <w:rPr>
          <w:b/>
        </w:rPr>
        <w:t>Likvidací</w:t>
      </w:r>
      <w:r w:rsidR="0062730B" w:rsidRPr="00D84B19">
        <w:rPr>
          <w:b/>
        </w:rPr>
        <w:t xml:space="preserve"> osobních údajů </w:t>
      </w:r>
      <w:r>
        <w:t>se rozumí</w:t>
      </w:r>
      <w:r w:rsidR="0062730B" w:rsidRPr="0062730B">
        <w:t xml:space="preserve"> fyzické zničení jejich nosiče, jejich fyzické vymazání nebo jejich trvalé vyloučení z dalších zpracování.</w:t>
      </w:r>
    </w:p>
    <w:p w:rsidR="0062730B" w:rsidRDefault="0062730B" w:rsidP="00B04B31">
      <w:pPr>
        <w:pStyle w:val="Odstavecseseznamem"/>
        <w:numPr>
          <w:ilvl w:val="0"/>
          <w:numId w:val="4"/>
        </w:numPr>
        <w:ind w:left="567" w:hanging="567"/>
      </w:pPr>
      <w:r w:rsidRPr="00D84B19">
        <w:rPr>
          <w:b/>
        </w:rPr>
        <w:t>Správce osobních údajů</w:t>
      </w:r>
      <w:r w:rsidRPr="0062730B">
        <w:t xml:space="preserve"> je každý subjekt, který určuje účel a prostředky zpracování osobních údajů, provádí zpracování a odpovídá za něj.</w:t>
      </w:r>
    </w:p>
    <w:p w:rsidR="0062730B" w:rsidRPr="00D84B19" w:rsidRDefault="00963E01" w:rsidP="00B04B31">
      <w:pPr>
        <w:pStyle w:val="Odstavecseseznamem"/>
        <w:numPr>
          <w:ilvl w:val="0"/>
          <w:numId w:val="4"/>
        </w:numPr>
        <w:ind w:left="567" w:hanging="567"/>
      </w:pPr>
      <w:r w:rsidRPr="00D84B19">
        <w:rPr>
          <w:b/>
        </w:rPr>
        <w:t>Oprávněná osoba</w:t>
      </w:r>
      <w:r>
        <w:t xml:space="preserve"> </w:t>
      </w:r>
      <w:r w:rsidR="0062730B" w:rsidRPr="0062730B">
        <w:t>je každý subjekt, který na základě pověření správcem zpracovává osobní údaje podle zákona o ochraně osobních údajů</w:t>
      </w:r>
      <w:r w:rsidR="00E77EF8">
        <w:t>, tj. zaměstnanec úřadu, který zpracovává osobní údaje v rámci svých pracovních povinností</w:t>
      </w:r>
      <w:r w:rsidR="0062730B" w:rsidRPr="0062730B">
        <w:t>.</w:t>
      </w:r>
      <w:r w:rsidR="00E77EF8">
        <w:t xml:space="preserve"> </w:t>
      </w:r>
    </w:p>
    <w:p w:rsidR="0062730B" w:rsidRPr="005E1089" w:rsidRDefault="0062730B" w:rsidP="00501045">
      <w:pPr>
        <w:shd w:val="clear" w:color="auto" w:fill="FFFFFF"/>
        <w:spacing w:before="557" w:line="288" w:lineRule="exact"/>
        <w:jc w:val="both"/>
        <w:rPr>
          <w:spacing w:val="-8"/>
        </w:rPr>
      </w:pPr>
    </w:p>
    <w:p w:rsidR="00C25843" w:rsidRPr="005E1089" w:rsidRDefault="00C25843" w:rsidP="00C25843">
      <w:pPr>
        <w:shd w:val="clear" w:color="auto" w:fill="FFFFFF"/>
        <w:tabs>
          <w:tab w:val="left" w:pos="284"/>
          <w:tab w:val="left" w:pos="426"/>
        </w:tabs>
        <w:spacing w:line="278" w:lineRule="exact"/>
        <w:jc w:val="center"/>
        <w:rPr>
          <w:b/>
          <w:spacing w:val="-8"/>
          <w:sz w:val="28"/>
          <w:szCs w:val="28"/>
        </w:rPr>
      </w:pPr>
      <w:r w:rsidRPr="005E1089">
        <w:rPr>
          <w:b/>
          <w:spacing w:val="-8"/>
          <w:sz w:val="28"/>
          <w:szCs w:val="28"/>
        </w:rPr>
        <w:t>Čl. III</w:t>
      </w:r>
    </w:p>
    <w:p w:rsidR="00C25843" w:rsidRPr="005E1089" w:rsidRDefault="00C25843" w:rsidP="00C25843">
      <w:pPr>
        <w:shd w:val="clear" w:color="auto" w:fill="FFFFFF"/>
        <w:tabs>
          <w:tab w:val="left" w:pos="284"/>
          <w:tab w:val="left" w:pos="426"/>
        </w:tabs>
        <w:spacing w:line="278" w:lineRule="exact"/>
        <w:jc w:val="center"/>
        <w:rPr>
          <w:b/>
          <w:spacing w:val="-8"/>
          <w:sz w:val="28"/>
          <w:szCs w:val="28"/>
        </w:rPr>
      </w:pPr>
    </w:p>
    <w:p w:rsidR="00C25843" w:rsidRPr="005E1089" w:rsidRDefault="00501045" w:rsidP="00C25843">
      <w:pPr>
        <w:shd w:val="clear" w:color="auto" w:fill="FFFFFF"/>
        <w:tabs>
          <w:tab w:val="left" w:pos="284"/>
          <w:tab w:val="left" w:pos="426"/>
        </w:tabs>
        <w:spacing w:line="278" w:lineRule="exact"/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Základní zásady nakládání s osobními údaji</w:t>
      </w:r>
    </w:p>
    <w:p w:rsidR="00406831" w:rsidRDefault="00406831" w:rsidP="00B04B31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</w:pPr>
      <w:r>
        <w:t>Úřad MČ Praha-</w:t>
      </w:r>
      <w:r w:rsidR="00D84B19">
        <w:t>Kunratice</w:t>
      </w:r>
      <w:r w:rsidRPr="00B260BA">
        <w:t xml:space="preserve"> </w:t>
      </w:r>
      <w:r w:rsidR="0003093A">
        <w:t xml:space="preserve">(dále jen „úřad“) </w:t>
      </w:r>
      <w:r w:rsidRPr="00B260BA">
        <w:t>zpracovává osobní údaje korektním a transparentním způsobem</w:t>
      </w:r>
      <w:r>
        <w:t>.</w:t>
      </w:r>
    </w:p>
    <w:p w:rsidR="00406831" w:rsidRDefault="00406831" w:rsidP="00B04B31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</w:pPr>
      <w:r>
        <w:lastRenderedPageBreak/>
        <w:t xml:space="preserve">Úřad </w:t>
      </w:r>
      <w:r w:rsidRPr="00B260BA">
        <w:t>před každým zpracováním osobních údajů stanoví účel a právní důvod tohoto zpracování</w:t>
      </w:r>
      <w:r>
        <w:t>.</w:t>
      </w:r>
      <w:r w:rsidRPr="00B260BA">
        <w:t xml:space="preserve"> </w:t>
      </w:r>
    </w:p>
    <w:p w:rsidR="00406831" w:rsidRDefault="00406831" w:rsidP="00B04B31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</w:pPr>
      <w:r>
        <w:t xml:space="preserve">Úřad </w:t>
      </w:r>
      <w:r w:rsidRPr="00B260BA">
        <w:t xml:space="preserve">zpracovává osobní údaje pouze v nezbytném rozsahu a po dobu nezbytnou k danému účelu. </w:t>
      </w:r>
    </w:p>
    <w:p w:rsidR="0003093A" w:rsidRDefault="00406831" w:rsidP="00B04B31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</w:pPr>
      <w:r>
        <w:t xml:space="preserve">Úřad </w:t>
      </w:r>
      <w:r w:rsidRPr="00B260BA">
        <w:t>zpracovává osobní údaje přesné a podle potřeby je aktualizuje</w:t>
      </w:r>
      <w:r>
        <w:t>.</w:t>
      </w:r>
    </w:p>
    <w:p w:rsidR="00406831" w:rsidRPr="00B260BA" w:rsidRDefault="00406831" w:rsidP="00B04B31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</w:pPr>
      <w:r>
        <w:t xml:space="preserve">Úřad </w:t>
      </w:r>
      <w:r w:rsidRPr="00B260BA">
        <w:t>zajišťuje náležité zabezpečení osobních údajů</w:t>
      </w:r>
      <w:r>
        <w:t>.</w:t>
      </w:r>
      <w:r w:rsidRPr="00B260BA">
        <w:t xml:space="preserve"> </w:t>
      </w:r>
    </w:p>
    <w:p w:rsidR="00C25843" w:rsidRPr="005E1089" w:rsidRDefault="00C25843" w:rsidP="003C00CA">
      <w:pPr>
        <w:jc w:val="center"/>
        <w:rPr>
          <w:b/>
          <w:sz w:val="28"/>
          <w:szCs w:val="28"/>
        </w:rPr>
      </w:pPr>
    </w:p>
    <w:p w:rsidR="003C00CA" w:rsidRPr="005E1089" w:rsidRDefault="003C00CA" w:rsidP="003C00CA">
      <w:pPr>
        <w:jc w:val="center"/>
        <w:rPr>
          <w:b/>
          <w:sz w:val="28"/>
          <w:szCs w:val="28"/>
        </w:rPr>
      </w:pPr>
      <w:r w:rsidRPr="005E1089">
        <w:rPr>
          <w:b/>
          <w:sz w:val="28"/>
          <w:szCs w:val="28"/>
        </w:rPr>
        <w:t xml:space="preserve">Čl. </w:t>
      </w:r>
      <w:r w:rsidR="00C25843" w:rsidRPr="005E1089">
        <w:rPr>
          <w:b/>
          <w:sz w:val="28"/>
          <w:szCs w:val="28"/>
        </w:rPr>
        <w:t>IV</w:t>
      </w:r>
    </w:p>
    <w:p w:rsidR="00C51BDE" w:rsidRPr="00001F6C" w:rsidRDefault="00773326" w:rsidP="00773326">
      <w:pPr>
        <w:shd w:val="clear" w:color="auto" w:fill="FFFFFF"/>
        <w:spacing w:before="307"/>
        <w:jc w:val="center"/>
        <w:rPr>
          <w:b/>
          <w:bCs/>
        </w:rPr>
      </w:pPr>
      <w:r w:rsidRPr="00001F6C">
        <w:rPr>
          <w:b/>
          <w:spacing w:val="-8"/>
          <w:sz w:val="28"/>
          <w:szCs w:val="28"/>
        </w:rPr>
        <w:t>Vnitřní pravidla upravující povinnosti zaměstnanců</w:t>
      </w:r>
    </w:p>
    <w:p w:rsidR="00C51BDE" w:rsidRPr="005E1089" w:rsidRDefault="00C51BDE" w:rsidP="00C51BDE">
      <w:pPr>
        <w:shd w:val="clear" w:color="auto" w:fill="FFFFFF"/>
        <w:ind w:left="38"/>
        <w:rPr>
          <w:b/>
          <w:bCs/>
          <w:spacing w:val="1"/>
        </w:rPr>
      </w:pPr>
    </w:p>
    <w:p w:rsidR="00773326" w:rsidRPr="003D5DE1" w:rsidRDefault="00773326" w:rsidP="00B04B31">
      <w:pPr>
        <w:pStyle w:val="Odstavecseseznamem"/>
        <w:numPr>
          <w:ilvl w:val="0"/>
          <w:numId w:val="6"/>
        </w:numPr>
        <w:ind w:left="567" w:hanging="567"/>
        <w:rPr>
          <w:b/>
        </w:rPr>
      </w:pPr>
      <w:r w:rsidRPr="003D5DE1">
        <w:rPr>
          <w:b/>
        </w:rPr>
        <w:t>Odpovědný zaměstnanec</w:t>
      </w:r>
    </w:p>
    <w:p w:rsidR="004E5631" w:rsidRDefault="00773326" w:rsidP="00B04B31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</w:pPr>
      <w:r w:rsidRPr="00FB0189">
        <w:t xml:space="preserve">Zaměstnancem odpovědným za oblast ochrany osobních údajů, včetně odpovídajícího nastavení procesů a vedení dokumentace souladu s Nařízením je </w:t>
      </w:r>
      <w:r w:rsidR="004E5631" w:rsidRPr="00FB0189">
        <w:t>tajemn</w:t>
      </w:r>
      <w:r w:rsidR="00F16B86" w:rsidRPr="00FB0189">
        <w:t>ík Ú</w:t>
      </w:r>
      <w:r w:rsidR="003D5DE1">
        <w:t xml:space="preserve">řadu </w:t>
      </w:r>
      <w:r w:rsidR="00F16B86" w:rsidRPr="00FB0189">
        <w:t>MČ</w:t>
      </w:r>
      <w:r w:rsidR="003D5DE1">
        <w:t xml:space="preserve"> Praha-Kunratice</w:t>
      </w:r>
      <w:r w:rsidR="00F16B86" w:rsidRPr="00FB0189">
        <w:t xml:space="preserve"> (dále jen „Odpovědný zaměstnanec“).</w:t>
      </w:r>
    </w:p>
    <w:p w:rsidR="00FB0189" w:rsidRDefault="00773326" w:rsidP="00B04B31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</w:pPr>
      <w:r w:rsidRPr="00FB0189">
        <w:t xml:space="preserve">Odpovědný zaměstnanec </w:t>
      </w:r>
      <w:r w:rsidR="004E5631" w:rsidRPr="00FB0189">
        <w:t xml:space="preserve">zodpovídá za jmenování pověřence pro ochranu osobních údajů, který </w:t>
      </w:r>
      <w:r w:rsidRPr="00FB0189">
        <w:t>je pověřen stykem s Úřadem pro ochranu osobních údajů.</w:t>
      </w:r>
    </w:p>
    <w:p w:rsidR="003D5DE1" w:rsidRDefault="00FB0189" w:rsidP="00B04B31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</w:pPr>
      <w:r>
        <w:t>Odpovědný zaměstnanec zajišťuje</w:t>
      </w:r>
      <w:r w:rsidR="00773326" w:rsidRPr="00FB0189">
        <w:t xml:space="preserve"> </w:t>
      </w:r>
      <w:r w:rsidR="0001439C">
        <w:t>zahrnutí problematiky ochrany osobních údajů do plánu vzdělávání.</w:t>
      </w:r>
    </w:p>
    <w:p w:rsidR="00773326" w:rsidRPr="003D5DE1" w:rsidRDefault="00773326" w:rsidP="00B04B31">
      <w:pPr>
        <w:pStyle w:val="Odstavecseseznamem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b/>
        </w:rPr>
      </w:pPr>
      <w:r w:rsidRPr="003D5DE1">
        <w:rPr>
          <w:b/>
        </w:rPr>
        <w:t>Informování subjektů údajů</w:t>
      </w:r>
      <w:r w:rsidRPr="00453668">
        <w:rPr>
          <w:b/>
          <w:color w:val="FF0000"/>
          <w:vertAlign w:val="superscript"/>
        </w:rPr>
        <w:t>1</w:t>
      </w:r>
      <w:r w:rsidRPr="003D5DE1">
        <w:rPr>
          <w:b/>
        </w:rPr>
        <w:t xml:space="preserve"> </w:t>
      </w:r>
    </w:p>
    <w:p w:rsidR="00773326" w:rsidRPr="00FB0189" w:rsidRDefault="00773326" w:rsidP="00B04B31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</w:pPr>
      <w:r w:rsidRPr="00FB0189">
        <w:t xml:space="preserve">Odpovědný zaměstnanec zajistí informování subjektů údajů, jejichž údaje </w:t>
      </w:r>
      <w:r w:rsidR="00F16B86" w:rsidRPr="00FB0189">
        <w:t>Ú</w:t>
      </w:r>
      <w:r w:rsidR="003D5DE1">
        <w:t xml:space="preserve">řad </w:t>
      </w:r>
      <w:r w:rsidR="00F16B86" w:rsidRPr="00FB0189">
        <w:t>MČ</w:t>
      </w:r>
      <w:r w:rsidRPr="00FB0189">
        <w:t xml:space="preserve"> zpracovává. Informace určené uživatelům zveřejní na webových stránkách a dále </w:t>
      </w:r>
      <w:r w:rsidR="00F16B86" w:rsidRPr="00FB0189">
        <w:t>pak na informační nástěnce na veřejně přístupném místě.</w:t>
      </w:r>
      <w:r w:rsidRPr="00FB0189">
        <w:t xml:space="preserve"> Informace určené zaměstnancům </w:t>
      </w:r>
      <w:r w:rsidR="00F16B86" w:rsidRPr="00FB0189">
        <w:t>zveřejní ve sdíleném adresáři Veřejné složky.</w:t>
      </w:r>
      <w:r w:rsidR="00127410" w:rsidRPr="00FB0189">
        <w:t xml:space="preserve"> </w:t>
      </w:r>
      <w:r w:rsidR="00FB0189">
        <w:t xml:space="preserve">Oprávněné osoby </w:t>
      </w:r>
      <w:r w:rsidR="00127410" w:rsidRPr="00FB0189">
        <w:t>informují konkrétní subjekt údajů o účelu a době, po kterou budou jeho os</w:t>
      </w:r>
      <w:r w:rsidR="006669EB">
        <w:t>obní</w:t>
      </w:r>
      <w:r w:rsidR="00127410" w:rsidRPr="00FB0189">
        <w:t xml:space="preserve"> údaje uchovávány, při přebírání údajů.</w:t>
      </w:r>
    </w:p>
    <w:p w:rsidR="00773326" w:rsidRDefault="00773326" w:rsidP="00773326">
      <w:pPr>
        <w:spacing w:before="100" w:beforeAutospacing="1" w:after="100" w:afterAutospacing="1"/>
      </w:pPr>
      <w:r w:rsidRPr="00FB0189">
        <w:rPr>
          <w:b/>
          <w:bCs/>
          <w:color w:val="CC0000"/>
        </w:rPr>
        <w:t>1</w:t>
      </w:r>
      <w:r w:rsidRPr="00FB0189">
        <w:t xml:space="preserve"> </w:t>
      </w:r>
      <w:r w:rsidRPr="00FB0189">
        <w:rPr>
          <w:sz w:val="20"/>
          <w:szCs w:val="20"/>
        </w:rPr>
        <w:t>Čl. 13 a 14 Nařízení</w:t>
      </w:r>
      <w:r w:rsidRPr="00FB0189">
        <w:t xml:space="preserve"> </w:t>
      </w:r>
    </w:p>
    <w:p w:rsidR="00E77EF8" w:rsidRPr="00AC01A9" w:rsidRDefault="00E77EF8" w:rsidP="00E77EF8">
      <w:pPr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77EF8" w:rsidRPr="00FB0189" w:rsidRDefault="00E77EF8" w:rsidP="00E77EF8">
      <w:pPr>
        <w:jc w:val="both"/>
      </w:pPr>
    </w:p>
    <w:p w:rsidR="00773326" w:rsidRPr="002A6D9F" w:rsidRDefault="00773326" w:rsidP="00B04B31">
      <w:pPr>
        <w:pStyle w:val="Odstavecseseznamem"/>
        <w:numPr>
          <w:ilvl w:val="0"/>
          <w:numId w:val="6"/>
        </w:numPr>
        <w:ind w:left="567" w:hanging="567"/>
        <w:rPr>
          <w:b/>
        </w:rPr>
      </w:pPr>
      <w:r w:rsidRPr="002A6D9F">
        <w:rPr>
          <w:b/>
        </w:rPr>
        <w:t>Přístup k osobním údajům</w:t>
      </w:r>
      <w:r w:rsidRPr="00EF5EAC">
        <w:rPr>
          <w:b/>
          <w:color w:val="FF0000"/>
          <w:vertAlign w:val="superscript"/>
        </w:rPr>
        <w:t>2</w:t>
      </w:r>
    </w:p>
    <w:p w:rsidR="00CA0FE8" w:rsidRDefault="00CA0FE8" w:rsidP="00CA0FE8">
      <w:pPr>
        <w:jc w:val="both"/>
      </w:pPr>
    </w:p>
    <w:p w:rsidR="002A6D9F" w:rsidRDefault="00773326" w:rsidP="00B04B31">
      <w:pPr>
        <w:pStyle w:val="Odstavecseseznamem"/>
        <w:numPr>
          <w:ilvl w:val="0"/>
          <w:numId w:val="9"/>
        </w:numPr>
        <w:jc w:val="both"/>
      </w:pPr>
      <w:r w:rsidRPr="00B260BA">
        <w:t xml:space="preserve">Požádá-li subjekt údajů o sdělení svých osobních údajů, ověří </w:t>
      </w:r>
      <w:r w:rsidR="0001439C" w:rsidRPr="002A6D9F">
        <w:rPr>
          <w:b/>
          <w:bCs/>
        </w:rPr>
        <w:t xml:space="preserve">oprávněná osoba </w:t>
      </w:r>
      <w:r w:rsidR="00963E01" w:rsidRPr="002A6D9F">
        <w:rPr>
          <w:bCs/>
        </w:rPr>
        <w:t>(</w:t>
      </w:r>
      <w:r w:rsidR="00963E01" w:rsidRPr="006669EB">
        <w:rPr>
          <w:bCs/>
        </w:rPr>
        <w:t>dále také zaměstnanec</w:t>
      </w:r>
      <w:r w:rsidR="00963E01" w:rsidRPr="002A6D9F">
        <w:rPr>
          <w:bCs/>
        </w:rPr>
        <w:t>)</w:t>
      </w:r>
      <w:r w:rsidR="00963E01">
        <w:t xml:space="preserve"> </w:t>
      </w:r>
      <w:r w:rsidRPr="00B260BA">
        <w:t xml:space="preserve">totožnost žadatele. Pokud subjekt údajů podává osobně písemnou žádost o přístup k osobním údajům, </w:t>
      </w:r>
      <w:r w:rsidR="0001439C" w:rsidRPr="002A6D9F">
        <w:rPr>
          <w:b/>
          <w:bCs/>
        </w:rPr>
        <w:t>oprávněná osoba</w:t>
      </w:r>
      <w:r w:rsidR="00963E01">
        <w:t>, která</w:t>
      </w:r>
      <w:r w:rsidRPr="00B260BA">
        <w:t xml:space="preserve"> žádost přebírá, potvrdí totožnost žadatele na žádosti.</w:t>
      </w:r>
      <w:r w:rsidR="00F16B86">
        <w:t xml:space="preserve"> </w:t>
      </w:r>
      <w:r w:rsidR="00CA0FE8" w:rsidRPr="00CA0FE8">
        <w:t>U poštovního podán</w:t>
      </w:r>
      <w:r w:rsidR="00CA0FE8">
        <w:t>í žádosti je nutné úředně ověřený</w:t>
      </w:r>
      <w:r w:rsidR="00CA0FE8" w:rsidRPr="00CA0FE8">
        <w:t xml:space="preserve"> podpis žádosti. Při podání žádosti prostřednictvím datové schránky se totožnost považuje za prokázanou, je-li žádost zaslána prostřednictvím datové schránky žadatele. V případě elektronického podání žádosti musí být podepsána uznávaným elektronickým podpisem s identifikátory.</w:t>
      </w:r>
    </w:p>
    <w:p w:rsidR="00CA0FE8" w:rsidRDefault="00CA0FE8" w:rsidP="00B04B31">
      <w:pPr>
        <w:pStyle w:val="Odstavecseseznamem"/>
        <w:numPr>
          <w:ilvl w:val="0"/>
          <w:numId w:val="9"/>
        </w:numPr>
        <w:jc w:val="both"/>
      </w:pPr>
      <w:r>
        <w:t xml:space="preserve"> </w:t>
      </w:r>
      <w:r w:rsidRPr="00CA0FE8">
        <w:t>Žádost může být podána na formuláři zveřejněném na webových stránkách nebo volnou formou.</w:t>
      </w:r>
    </w:p>
    <w:p w:rsidR="00773326" w:rsidRDefault="00773326" w:rsidP="00B04B31">
      <w:pPr>
        <w:pStyle w:val="Odstavecseseznamem"/>
        <w:numPr>
          <w:ilvl w:val="0"/>
          <w:numId w:val="9"/>
        </w:numPr>
        <w:jc w:val="both"/>
      </w:pPr>
      <w:r w:rsidRPr="00B260BA">
        <w:t xml:space="preserve">Běžné provozní dotazy týkající se osobních údajů </w:t>
      </w:r>
      <w:r w:rsidR="0050041B">
        <w:t xml:space="preserve">subjektu údajů </w:t>
      </w:r>
      <w:r w:rsidRPr="00B260BA">
        <w:t>vyřídí</w:t>
      </w:r>
      <w:r>
        <w:t xml:space="preserve"> </w:t>
      </w:r>
      <w:r w:rsidR="0001439C">
        <w:t xml:space="preserve">oprávněná osoba </w:t>
      </w:r>
      <w:r w:rsidRPr="00B260BA">
        <w:t xml:space="preserve">obratem. Pokud </w:t>
      </w:r>
      <w:r w:rsidR="0050041B">
        <w:t>žadatel požádá</w:t>
      </w:r>
      <w:r>
        <w:t>,</w:t>
      </w:r>
      <w:r w:rsidR="0001439C">
        <w:t xml:space="preserve"> oprávněná osoba </w:t>
      </w:r>
      <w:r w:rsidRPr="00B260BA">
        <w:t xml:space="preserve">požadované údaje zdarma vytiskne. </w:t>
      </w:r>
    </w:p>
    <w:p w:rsidR="00773326" w:rsidRPr="00B260BA" w:rsidRDefault="00773326" w:rsidP="00B04B31">
      <w:pPr>
        <w:pStyle w:val="Odstavecseseznamem"/>
        <w:numPr>
          <w:ilvl w:val="0"/>
          <w:numId w:val="9"/>
        </w:numPr>
        <w:jc w:val="both"/>
      </w:pPr>
      <w:r w:rsidRPr="00B260BA">
        <w:lastRenderedPageBreak/>
        <w:t xml:space="preserve">K vyřízení </w:t>
      </w:r>
      <w:r>
        <w:t xml:space="preserve">ostatních </w:t>
      </w:r>
      <w:r w:rsidR="00963E01">
        <w:t>žádostí</w:t>
      </w:r>
      <w:r w:rsidRPr="00B260BA">
        <w:t xml:space="preserve"> </w:t>
      </w:r>
      <w:r>
        <w:t>o</w:t>
      </w:r>
      <w:r w:rsidRPr="00B260BA">
        <w:t xml:space="preserve"> přístup k osobním údajům je příslušn</w:t>
      </w:r>
      <w:r>
        <w:t>ý</w:t>
      </w:r>
      <w:r w:rsidRPr="00B260BA">
        <w:t xml:space="preserve"> </w:t>
      </w:r>
      <w:r>
        <w:t>odpovědný zaměstnanec</w:t>
      </w:r>
      <w:r w:rsidRPr="00B260BA">
        <w:t xml:space="preserve">. </w:t>
      </w:r>
      <w:r>
        <w:t>Žádost je povinen vyřídit do 30 dnů.</w:t>
      </w:r>
      <w:r w:rsidR="00CA0FE8">
        <w:t xml:space="preserve"> </w:t>
      </w:r>
      <w:r w:rsidR="00CA0FE8" w:rsidRPr="002336A6">
        <w:t>Lhůtu je možné prodloužit v případě potřeby a s ohledem</w:t>
      </w:r>
      <w:r w:rsidR="002336A6">
        <w:t xml:space="preserve"> na složitost a počet žádostí o</w:t>
      </w:r>
      <w:r w:rsidR="00CA0FE8" w:rsidRPr="002336A6">
        <w:t xml:space="preserve"> další dva měsíce. O prodloužení lhůty žadatele informuje bez zbytečného odkladu, nejpozději však do 10 dnů od obdržení žádosti.</w:t>
      </w:r>
    </w:p>
    <w:p w:rsidR="00773326" w:rsidRPr="00B260BA" w:rsidRDefault="00773326" w:rsidP="00773326">
      <w:pPr>
        <w:spacing w:before="100" w:beforeAutospacing="1" w:after="100" w:afterAutospacing="1"/>
      </w:pPr>
      <w:r w:rsidRPr="00B260BA">
        <w:rPr>
          <w:b/>
          <w:bCs/>
          <w:color w:val="CC0000"/>
          <w:sz w:val="20"/>
          <w:szCs w:val="20"/>
        </w:rPr>
        <w:t>2</w:t>
      </w:r>
      <w:r w:rsidRPr="00B260BA">
        <w:rPr>
          <w:sz w:val="20"/>
          <w:szCs w:val="20"/>
        </w:rPr>
        <w:t xml:space="preserve"> Čl. 15 Nařízení</w:t>
      </w:r>
      <w:r w:rsidRPr="00B260BA">
        <w:t xml:space="preserve"> </w:t>
      </w:r>
    </w:p>
    <w:p w:rsidR="00773326" w:rsidRPr="002A6D9F" w:rsidRDefault="00773326" w:rsidP="00B04B31">
      <w:pPr>
        <w:pStyle w:val="Odstavecseseznamem"/>
        <w:numPr>
          <w:ilvl w:val="0"/>
          <w:numId w:val="6"/>
        </w:numPr>
        <w:ind w:left="567" w:hanging="567"/>
        <w:rPr>
          <w:b/>
        </w:rPr>
      </w:pPr>
      <w:r w:rsidRPr="002A6D9F">
        <w:rPr>
          <w:b/>
        </w:rPr>
        <w:t>Zákonnost a účel zpracování</w:t>
      </w:r>
      <w:r w:rsidR="00EF5EAC" w:rsidRPr="00EF5EAC">
        <w:rPr>
          <w:b/>
          <w:color w:val="FF0000"/>
          <w:vertAlign w:val="superscript"/>
        </w:rPr>
        <w:t>3</w:t>
      </w:r>
    </w:p>
    <w:p w:rsidR="00773326" w:rsidRDefault="002336A6" w:rsidP="00B04B31">
      <w:pPr>
        <w:pStyle w:val="Odstavecseseznamem"/>
        <w:numPr>
          <w:ilvl w:val="0"/>
          <w:numId w:val="10"/>
        </w:numPr>
        <w:spacing w:before="100" w:beforeAutospacing="1" w:after="100" w:afterAutospacing="1"/>
        <w:jc w:val="both"/>
      </w:pPr>
      <w:r w:rsidRPr="00FB0189">
        <w:t>Pro každé zpracování musí být určen příslušn</w:t>
      </w:r>
      <w:r w:rsidR="00963E01">
        <w:t xml:space="preserve">ou oprávněnou osobou </w:t>
      </w:r>
      <w:r w:rsidR="00773326" w:rsidRPr="00FB0189">
        <w:t xml:space="preserve">účel zpracování. O účelu zpracování zasahující subjekty osobních údajů ve </w:t>
      </w:r>
      <w:r w:rsidRPr="00FB0189">
        <w:t>velkém rozsahu rozhoduje tajemník ÚMČ</w:t>
      </w:r>
      <w:r w:rsidR="00773326" w:rsidRPr="00FB0189">
        <w:t xml:space="preserve">, o účelu drobných zpracování rozhoduje vedoucí zaměstnanec, do jehož kompetence spadá úkol, který zpracování osobních údajů vyžaduje. </w:t>
      </w:r>
    </w:p>
    <w:p w:rsidR="00773326" w:rsidRDefault="00773326" w:rsidP="00B04B31">
      <w:pPr>
        <w:pStyle w:val="Odstavecseseznamem"/>
        <w:numPr>
          <w:ilvl w:val="0"/>
          <w:numId w:val="10"/>
        </w:numPr>
        <w:spacing w:before="100" w:beforeAutospacing="1" w:after="100" w:afterAutospacing="1"/>
        <w:jc w:val="both"/>
      </w:pPr>
      <w:r w:rsidRPr="00FB0189">
        <w:t>Právní důvod</w:t>
      </w:r>
      <w:r w:rsidR="00EF5EAC">
        <w:rPr>
          <w:b/>
          <w:bCs/>
          <w:color w:val="CC0000"/>
          <w:vertAlign w:val="superscript"/>
        </w:rPr>
        <w:t>4</w:t>
      </w:r>
      <w:r w:rsidRPr="00FB0189">
        <w:t xml:space="preserve"> každého zpracování určí odpovědný zaměstnanec. </w:t>
      </w:r>
    </w:p>
    <w:p w:rsidR="00773326" w:rsidRPr="00FB0189" w:rsidRDefault="00E77EF8" w:rsidP="00B04B31">
      <w:pPr>
        <w:pStyle w:val="Odstavecseseznamem"/>
        <w:numPr>
          <w:ilvl w:val="0"/>
          <w:numId w:val="10"/>
        </w:numPr>
        <w:spacing w:before="100" w:beforeAutospacing="1" w:after="100" w:afterAutospacing="1"/>
        <w:jc w:val="both"/>
      </w:pPr>
      <w:r w:rsidRPr="00FE605C">
        <w:rPr>
          <w:bCs/>
        </w:rPr>
        <w:t>Oprávněné osoby</w:t>
      </w:r>
      <w:r w:rsidR="00773326" w:rsidRPr="00FB0189">
        <w:t xml:space="preserve"> jsou p</w:t>
      </w:r>
      <w:r>
        <w:t>ovinny</w:t>
      </w:r>
      <w:r w:rsidR="00773326" w:rsidRPr="00FB0189">
        <w:t xml:space="preserve"> zpracovávat osobní údaje pouze ke stanovenému účelu, v rozsahu pracovní náplně a úkolů, které jim byly stanoveny jejich nadřízenými, a na místech k tomu určených. </w:t>
      </w:r>
    </w:p>
    <w:p w:rsidR="00773326" w:rsidRDefault="00EF5EAC" w:rsidP="00773326">
      <w:pPr>
        <w:spacing w:before="100" w:beforeAutospacing="1" w:after="100" w:afterAutospacing="1"/>
      </w:pPr>
      <w:r>
        <w:rPr>
          <w:b/>
          <w:bCs/>
          <w:color w:val="CC0000"/>
          <w:sz w:val="20"/>
          <w:szCs w:val="20"/>
        </w:rPr>
        <w:t>3</w:t>
      </w:r>
      <w:r w:rsidR="00773326" w:rsidRPr="00B260BA">
        <w:rPr>
          <w:sz w:val="20"/>
          <w:szCs w:val="20"/>
        </w:rPr>
        <w:t xml:space="preserve"> Čl. 5 odst. 1 písm. b) Nařízení </w:t>
      </w:r>
      <w:r w:rsidR="00773326" w:rsidRPr="00B260BA">
        <w:rPr>
          <w:sz w:val="20"/>
          <w:szCs w:val="20"/>
        </w:rPr>
        <w:br/>
      </w:r>
      <w:r>
        <w:rPr>
          <w:b/>
          <w:bCs/>
          <w:color w:val="CC0000"/>
          <w:sz w:val="20"/>
          <w:szCs w:val="20"/>
        </w:rPr>
        <w:t>4</w:t>
      </w:r>
      <w:r w:rsidR="00773326" w:rsidRPr="00B260BA">
        <w:rPr>
          <w:sz w:val="20"/>
          <w:szCs w:val="20"/>
        </w:rPr>
        <w:t xml:space="preserve"> Čl. 6 Nařízení</w:t>
      </w:r>
      <w:r w:rsidR="00773326" w:rsidRPr="00B260BA">
        <w:t xml:space="preserve"> </w:t>
      </w:r>
    </w:p>
    <w:p w:rsidR="00773326" w:rsidRPr="00FE605C" w:rsidRDefault="00773326" w:rsidP="00B04B31">
      <w:pPr>
        <w:pStyle w:val="Odstavecseseznamem"/>
        <w:numPr>
          <w:ilvl w:val="0"/>
          <w:numId w:val="6"/>
        </w:numPr>
        <w:ind w:left="567" w:hanging="567"/>
        <w:rPr>
          <w:b/>
        </w:rPr>
      </w:pPr>
      <w:r w:rsidRPr="00FE605C">
        <w:rPr>
          <w:b/>
        </w:rPr>
        <w:t>Nová zpracování</w:t>
      </w:r>
    </w:p>
    <w:p w:rsidR="00773326" w:rsidRPr="00FB0189" w:rsidRDefault="0001439C" w:rsidP="00B04B31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</w:pPr>
      <w:r w:rsidRPr="00FE605C">
        <w:rPr>
          <w:bCs/>
        </w:rPr>
        <w:t>Oprávněná osoba</w:t>
      </w:r>
      <w:r w:rsidR="00E607A1" w:rsidRPr="00E607A1">
        <w:t>,</w:t>
      </w:r>
      <w:r w:rsidR="00E607A1">
        <w:t xml:space="preserve"> z </w:t>
      </w:r>
      <w:r w:rsidR="00773326" w:rsidRPr="00FB0189">
        <w:t>je</w:t>
      </w:r>
      <w:r w:rsidR="00E607A1">
        <w:t>jíž</w:t>
      </w:r>
      <w:r w:rsidR="00773326" w:rsidRPr="00FB0189">
        <w:t xml:space="preserve"> pracovních úkolů vyplynula potřeba provádět nové zpracování (včetně nového využití již zpracovávaných údajů), oznámí tento záměr </w:t>
      </w:r>
      <w:r w:rsidR="00E607A1">
        <w:t xml:space="preserve">vedoucímu </w:t>
      </w:r>
      <w:r w:rsidR="00773326" w:rsidRPr="00FB0189">
        <w:t xml:space="preserve">zaměstnanci před započetím zpracování. Společně pak posoudí oprávněnost účelu, </w:t>
      </w:r>
      <w:r w:rsidR="002C4CC9" w:rsidRPr="00FB0189">
        <w:t xml:space="preserve">vyhodnotí rizika při zpracování osobních údajů, určí </w:t>
      </w:r>
      <w:r w:rsidR="00773326" w:rsidRPr="00FB0189">
        <w:t xml:space="preserve">nezbytný rozsahu údajů pro dané zpracování, dobu a způsob uchování a způsob informování subjektů údajů. </w:t>
      </w:r>
    </w:p>
    <w:p w:rsidR="00773326" w:rsidRPr="00FB0189" w:rsidRDefault="00773326" w:rsidP="00B04B31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</w:pPr>
      <w:r w:rsidRPr="00FB0189">
        <w:t xml:space="preserve">Zpracování většího rozsahu předloží </w:t>
      </w:r>
      <w:r w:rsidR="0001439C">
        <w:t xml:space="preserve">oprávněná osoba </w:t>
      </w:r>
      <w:r w:rsidR="002336A6" w:rsidRPr="00FB0189">
        <w:t>ke schválení tajemníkovi ÚMČ</w:t>
      </w:r>
      <w:r w:rsidRPr="00FB0189">
        <w:t>.</w:t>
      </w:r>
    </w:p>
    <w:p w:rsidR="00773326" w:rsidRPr="00FE605C" w:rsidRDefault="00773326" w:rsidP="00B04B31">
      <w:pPr>
        <w:pStyle w:val="Odstavecseseznamem"/>
        <w:numPr>
          <w:ilvl w:val="0"/>
          <w:numId w:val="6"/>
        </w:numPr>
        <w:rPr>
          <w:b/>
        </w:rPr>
      </w:pPr>
      <w:r w:rsidRPr="00FE605C">
        <w:rPr>
          <w:b/>
        </w:rPr>
        <w:t>Přesnost údajů, právo na opravu a doplnění</w:t>
      </w:r>
    </w:p>
    <w:p w:rsidR="00773326" w:rsidRDefault="00B909A6" w:rsidP="00B04B31">
      <w:pPr>
        <w:pStyle w:val="Odstavecseseznamem"/>
        <w:numPr>
          <w:ilvl w:val="0"/>
          <w:numId w:val="12"/>
        </w:numPr>
        <w:spacing w:before="100" w:beforeAutospacing="1" w:after="100" w:afterAutospacing="1"/>
        <w:jc w:val="both"/>
      </w:pPr>
      <w:r w:rsidRPr="00FE605C">
        <w:rPr>
          <w:bCs/>
        </w:rPr>
        <w:t>Oprávněné osoby</w:t>
      </w:r>
      <w:r w:rsidRPr="00592AB8">
        <w:t xml:space="preserve"> jsou</w:t>
      </w:r>
      <w:r>
        <w:t xml:space="preserve"> povinny</w:t>
      </w:r>
      <w:r w:rsidR="00773326" w:rsidRPr="00FB0189">
        <w:t xml:space="preserve"> dbát na správnost zpracovávaných osobních údajů. </w:t>
      </w:r>
    </w:p>
    <w:p w:rsidR="00773326" w:rsidRDefault="00773326" w:rsidP="00B04B31">
      <w:pPr>
        <w:pStyle w:val="Odstavecseseznamem"/>
        <w:numPr>
          <w:ilvl w:val="0"/>
          <w:numId w:val="12"/>
        </w:numPr>
        <w:spacing w:before="100" w:beforeAutospacing="1" w:after="100" w:afterAutospacing="1"/>
        <w:jc w:val="both"/>
      </w:pPr>
      <w:r w:rsidRPr="00FB0189">
        <w:t xml:space="preserve">Na správnost osobní údajů dbá </w:t>
      </w:r>
      <w:r w:rsidR="0001439C" w:rsidRPr="00FE605C">
        <w:rPr>
          <w:bCs/>
        </w:rPr>
        <w:t xml:space="preserve">oprávněná osoba </w:t>
      </w:r>
      <w:r w:rsidRPr="00592AB8">
        <w:t>zejména</w:t>
      </w:r>
      <w:r w:rsidRPr="00FB0189">
        <w:t xml:space="preserve"> při přepisování údajů z</w:t>
      </w:r>
      <w:r w:rsidR="00592AB8">
        <w:t xml:space="preserve"> formulářů do </w:t>
      </w:r>
      <w:r w:rsidR="002336A6" w:rsidRPr="00FB0189">
        <w:t>registrů nebo</w:t>
      </w:r>
      <w:r w:rsidR="00581E65" w:rsidRPr="00FB0189">
        <w:t xml:space="preserve"> příslušných aplikací</w:t>
      </w:r>
      <w:r w:rsidRPr="00FB0189">
        <w:t xml:space="preserve">. </w:t>
      </w:r>
    </w:p>
    <w:p w:rsidR="00773326" w:rsidRDefault="00773326" w:rsidP="00B04B31">
      <w:pPr>
        <w:pStyle w:val="Odstavecseseznamem"/>
        <w:numPr>
          <w:ilvl w:val="0"/>
          <w:numId w:val="12"/>
        </w:numPr>
        <w:spacing w:before="100" w:beforeAutospacing="1" w:after="100" w:afterAutospacing="1"/>
        <w:jc w:val="both"/>
      </w:pPr>
      <w:r w:rsidRPr="00FB0189">
        <w:t xml:space="preserve">Subjekt údajů má právo žádat opravu a </w:t>
      </w:r>
      <w:r w:rsidRPr="00592AB8">
        <w:t xml:space="preserve">doplnění osobních údajů, které se ho </w:t>
      </w:r>
      <w:proofErr w:type="gramStart"/>
      <w:r w:rsidRPr="00592AB8">
        <w:t>týkají.</w:t>
      </w:r>
      <w:r w:rsidR="00EF5EAC" w:rsidRPr="00EF5EAC">
        <w:rPr>
          <w:bCs/>
          <w:color w:val="FF0000"/>
          <w:vertAlign w:val="superscript"/>
        </w:rPr>
        <w:t>5</w:t>
      </w:r>
      <w:r w:rsidRPr="00592AB8">
        <w:t xml:space="preserve"> </w:t>
      </w:r>
      <w:r w:rsidR="00592AB8" w:rsidRPr="00592AB8">
        <w:t xml:space="preserve"> </w:t>
      </w:r>
      <w:r w:rsidRPr="00592AB8">
        <w:t>Žádost</w:t>
      </w:r>
      <w:proofErr w:type="gramEnd"/>
      <w:r w:rsidR="00592AB8">
        <w:t xml:space="preserve"> </w:t>
      </w:r>
      <w:r w:rsidRPr="00592AB8">
        <w:t xml:space="preserve">podanou uživatelem na </w:t>
      </w:r>
      <w:r w:rsidR="002336A6" w:rsidRPr="00592AB8">
        <w:t>pracovišti ÚMČ</w:t>
      </w:r>
      <w:r w:rsidRPr="00592AB8">
        <w:t xml:space="preserve"> </w:t>
      </w:r>
      <w:r w:rsidR="0001439C" w:rsidRPr="00FE605C">
        <w:rPr>
          <w:bCs/>
        </w:rPr>
        <w:t xml:space="preserve">oprávněná osoba </w:t>
      </w:r>
      <w:r w:rsidRPr="00592AB8">
        <w:t>vyřídí po ověření totožnosti obratem.</w:t>
      </w:r>
      <w:r w:rsidRPr="00FB0189">
        <w:t xml:space="preserve"> </w:t>
      </w:r>
    </w:p>
    <w:p w:rsidR="00773326" w:rsidRPr="00FB0189" w:rsidRDefault="00773326" w:rsidP="00B04B31">
      <w:pPr>
        <w:pStyle w:val="Odstavecseseznamem"/>
        <w:numPr>
          <w:ilvl w:val="0"/>
          <w:numId w:val="12"/>
        </w:numPr>
        <w:spacing w:before="100" w:beforeAutospacing="1" w:after="100" w:afterAutospacing="1"/>
        <w:jc w:val="both"/>
      </w:pPr>
      <w:r w:rsidRPr="00592AB8">
        <w:t xml:space="preserve">Zjistí-li </w:t>
      </w:r>
      <w:r w:rsidR="00B909A6" w:rsidRPr="00FE605C">
        <w:rPr>
          <w:bCs/>
        </w:rPr>
        <w:t>oprávněná osoba</w:t>
      </w:r>
      <w:r w:rsidRPr="00592AB8">
        <w:t xml:space="preserve">, že v </w:t>
      </w:r>
      <w:r w:rsidR="00B909A6" w:rsidRPr="00592AB8">
        <w:t>systému</w:t>
      </w:r>
      <w:r w:rsidRPr="00592AB8">
        <w:t xml:space="preserve"> došlo</w:t>
      </w:r>
      <w:r w:rsidRPr="00FB0189">
        <w:t xml:space="preserve"> ke zjevnému překlepu, údaj opraví. </w:t>
      </w:r>
    </w:p>
    <w:p w:rsidR="00773326" w:rsidRPr="00B909A6" w:rsidRDefault="00EF5EAC" w:rsidP="00773326">
      <w:pPr>
        <w:spacing w:before="100" w:beforeAutospacing="1" w:after="100" w:afterAutospacing="1"/>
        <w:rPr>
          <w:b/>
          <w:bCs/>
          <w:sz w:val="20"/>
          <w:szCs w:val="20"/>
        </w:rPr>
      </w:pPr>
      <w:r w:rsidRPr="00EF5EAC">
        <w:rPr>
          <w:b/>
          <w:bCs/>
          <w:color w:val="FF0000"/>
          <w:sz w:val="20"/>
          <w:szCs w:val="20"/>
        </w:rPr>
        <w:t>5</w:t>
      </w:r>
      <w:r w:rsidR="00773326" w:rsidRPr="00B909A6">
        <w:rPr>
          <w:sz w:val="20"/>
          <w:szCs w:val="20"/>
        </w:rPr>
        <w:t xml:space="preserve"> Čl. 16 Nařízení </w:t>
      </w:r>
      <w:r w:rsidR="00773326" w:rsidRPr="00B909A6">
        <w:rPr>
          <w:sz w:val="20"/>
          <w:szCs w:val="20"/>
        </w:rPr>
        <w:br/>
      </w:r>
    </w:p>
    <w:p w:rsidR="00B909A6" w:rsidRPr="00FE605C" w:rsidRDefault="00B909A6" w:rsidP="00B04B31">
      <w:pPr>
        <w:pStyle w:val="Odstavecseseznamem"/>
        <w:numPr>
          <w:ilvl w:val="0"/>
          <w:numId w:val="6"/>
        </w:numPr>
        <w:rPr>
          <w:b/>
        </w:rPr>
      </w:pPr>
      <w:r w:rsidRPr="00FE605C">
        <w:rPr>
          <w:b/>
        </w:rPr>
        <w:t>Povinnosti oprávněných osob – zaměstnanců, zabezpečení osobních údajů</w:t>
      </w:r>
    </w:p>
    <w:p w:rsidR="00B909A6" w:rsidRPr="00E77EF8" w:rsidRDefault="00B909A6" w:rsidP="00B909A6"/>
    <w:p w:rsidR="00B909A6" w:rsidRDefault="00B909A6" w:rsidP="00B04B31">
      <w:pPr>
        <w:pStyle w:val="Odstavecseseznamem"/>
        <w:numPr>
          <w:ilvl w:val="0"/>
          <w:numId w:val="13"/>
        </w:numPr>
        <w:jc w:val="both"/>
      </w:pPr>
      <w:r w:rsidRPr="00E77EF8">
        <w:t>Zaměstnanci jsou povinni osobní údaje zpracovávat výhradně v rámci svých pracovních náplní.</w:t>
      </w:r>
    </w:p>
    <w:p w:rsidR="00B909A6" w:rsidRDefault="00B909A6" w:rsidP="00B04B31">
      <w:pPr>
        <w:pStyle w:val="Odstavecseseznamem"/>
        <w:numPr>
          <w:ilvl w:val="0"/>
          <w:numId w:val="13"/>
        </w:numPr>
        <w:jc w:val="both"/>
      </w:pPr>
      <w:r w:rsidRPr="00E77EF8">
        <w:t>K osobním údajům mají přístup pouze určení zaměstnanci.</w:t>
      </w:r>
    </w:p>
    <w:p w:rsidR="00B909A6" w:rsidRDefault="00B909A6" w:rsidP="00B04B31">
      <w:pPr>
        <w:pStyle w:val="Odstavecseseznamem"/>
        <w:numPr>
          <w:ilvl w:val="0"/>
          <w:numId w:val="13"/>
        </w:numPr>
        <w:jc w:val="both"/>
      </w:pPr>
      <w:r w:rsidRPr="00E77EF8">
        <w:lastRenderedPageBreak/>
        <w:t>Zaměstnanci, kteří přicházejí do styku s osobními údaji uživatelů, jsou povinni zachovávat mlčenlivost o osobních údajích a přijatých opatřeních k jejich ochraně, o nichž se v souvislosti se svým zaměstnáním (výkonem funkce) dozvěděli, a to i po skončení svého pracovního poměru.</w:t>
      </w:r>
    </w:p>
    <w:p w:rsidR="00B909A6" w:rsidRPr="00E77EF8" w:rsidRDefault="00592AB8" w:rsidP="00B04B31">
      <w:pPr>
        <w:pStyle w:val="Odstavecseseznamem"/>
        <w:numPr>
          <w:ilvl w:val="0"/>
          <w:numId w:val="13"/>
        </w:numPr>
        <w:jc w:val="both"/>
      </w:pPr>
      <w:r>
        <w:t>Odpovědní</w:t>
      </w:r>
      <w:r w:rsidR="00B909A6" w:rsidRPr="00E77EF8">
        <w:t xml:space="preserve"> zaměstnanci jsou </w:t>
      </w:r>
      <w:r w:rsidR="00B909A6" w:rsidRPr="00FE605C">
        <w:rPr>
          <w:b/>
        </w:rPr>
        <w:t>povinni se vyvarovat</w:t>
      </w:r>
      <w:r w:rsidR="00B909A6" w:rsidRPr="00E77EF8">
        <w:t xml:space="preserve"> jakéhokoli jednání, které by </w:t>
      </w:r>
      <w:r>
        <w:t>mohlo být chápáno jako neoprávněné zveřejňování osobních údajů, nebo vést k neoprávněnému přístupu třetích osob k osobním údajům. Zejména, ale nikoliv nesmí</w:t>
      </w:r>
      <w:r w:rsidR="00B909A6" w:rsidRPr="00E77EF8">
        <w:t xml:space="preserve">: </w:t>
      </w:r>
    </w:p>
    <w:p w:rsidR="00B909A6" w:rsidRDefault="00B909A6" w:rsidP="00B04B31">
      <w:pPr>
        <w:pStyle w:val="Odstavecseseznamem"/>
        <w:numPr>
          <w:ilvl w:val="1"/>
          <w:numId w:val="14"/>
        </w:numPr>
        <w:ind w:left="1134" w:hanging="425"/>
        <w:jc w:val="both"/>
      </w:pPr>
      <w:r w:rsidRPr="00FB0189">
        <w:t xml:space="preserve">sdělovat jakékoliv osobní údaje jiné osobě, než která je subjektem údajů nebo je jejím zákonným zástupcem, </w:t>
      </w:r>
    </w:p>
    <w:p w:rsidR="00B909A6" w:rsidRDefault="00B909A6" w:rsidP="00B04B31">
      <w:pPr>
        <w:pStyle w:val="Odstavecseseznamem"/>
        <w:numPr>
          <w:ilvl w:val="1"/>
          <w:numId w:val="14"/>
        </w:numPr>
        <w:ind w:left="1134" w:hanging="425"/>
        <w:jc w:val="both"/>
      </w:pPr>
      <w:r w:rsidRPr="00FB0189">
        <w:t xml:space="preserve">hlasitě sdělovat osobní údaje v prostorách ÚMČ (kupříkladu číst údaje získané z registrů, smluv, formulářů, pracovních podkladů apod.), a to i v případě, že je subjekt údajů přítomen, pokud si to výslovně nevyžádá, </w:t>
      </w:r>
    </w:p>
    <w:p w:rsidR="00B909A6" w:rsidRDefault="00B909A6" w:rsidP="00B04B31">
      <w:pPr>
        <w:pStyle w:val="Odstavecseseznamem"/>
        <w:numPr>
          <w:ilvl w:val="1"/>
          <w:numId w:val="14"/>
        </w:numPr>
        <w:ind w:left="1134" w:hanging="425"/>
        <w:jc w:val="both"/>
      </w:pPr>
      <w:r w:rsidRPr="00FB0189">
        <w:t xml:space="preserve">dovolit nepovolaným osobám nahlížet do listin, které nesou osobní údaje, nebo na obrazovku monitoru, kde jsou takové údaje zobrazeny, </w:t>
      </w:r>
    </w:p>
    <w:p w:rsidR="00B909A6" w:rsidRDefault="00B909A6" w:rsidP="00B04B31">
      <w:pPr>
        <w:pStyle w:val="Odstavecseseznamem"/>
        <w:numPr>
          <w:ilvl w:val="1"/>
          <w:numId w:val="14"/>
        </w:numPr>
        <w:ind w:left="1134" w:hanging="425"/>
        <w:jc w:val="both"/>
      </w:pPr>
      <w:r w:rsidRPr="00E77EF8">
        <w:t>neumožnit zpracování osobních údajů jiné osobě, která není pro konkrétní účel zpracování oprávněnou osobou</w:t>
      </w:r>
      <w:r w:rsidR="00592AB8">
        <w:t>,</w:t>
      </w:r>
    </w:p>
    <w:p w:rsidR="00B909A6" w:rsidRDefault="00B909A6" w:rsidP="00B04B31">
      <w:pPr>
        <w:pStyle w:val="Odstavecseseznamem"/>
        <w:numPr>
          <w:ilvl w:val="1"/>
          <w:numId w:val="14"/>
        </w:numPr>
        <w:ind w:left="1134" w:hanging="425"/>
        <w:jc w:val="both"/>
      </w:pPr>
      <w:r w:rsidRPr="00E77EF8">
        <w:t>vytištěné dokumenty obsahující osobní údaje neprodleně po vytištění odebírat z tiskáren, kopírek nebo faxů</w:t>
      </w:r>
      <w:r w:rsidR="00592AB8">
        <w:t>,</w:t>
      </w:r>
    </w:p>
    <w:p w:rsidR="00B909A6" w:rsidRDefault="00B909A6" w:rsidP="00B04B31">
      <w:pPr>
        <w:pStyle w:val="Odstavecseseznamem"/>
        <w:numPr>
          <w:ilvl w:val="1"/>
          <w:numId w:val="14"/>
        </w:numPr>
        <w:ind w:left="1134" w:hanging="425"/>
        <w:jc w:val="both"/>
      </w:pPr>
      <w:r w:rsidRPr="00E77EF8">
        <w:t>skartovat dokumenty, které již nebudou potřebovat či využívat a které ne</w:t>
      </w:r>
      <w:r>
        <w:t>jsou povinni archivovat</w:t>
      </w:r>
      <w:r w:rsidR="00592AB8">
        <w:t>,</w:t>
      </w:r>
      <w:r w:rsidRPr="00E77EF8">
        <w:t xml:space="preserve"> </w:t>
      </w:r>
    </w:p>
    <w:p w:rsidR="00B909A6" w:rsidRDefault="00B909A6" w:rsidP="00B04B31">
      <w:pPr>
        <w:pStyle w:val="Odstavecseseznamem"/>
        <w:numPr>
          <w:ilvl w:val="1"/>
          <w:numId w:val="14"/>
        </w:numPr>
        <w:ind w:left="1134" w:hanging="425"/>
        <w:jc w:val="both"/>
      </w:pPr>
      <w:r w:rsidRPr="00E77EF8">
        <w:t>zachovávat jedinečnost a důvěrnost přístupového hesla, tj. nesdílet heslo s jinou osobou, nezaznamenávat heslo např. na papíře, v souborech v počítači nebo na přenosných médiích</w:t>
      </w:r>
      <w:r w:rsidR="00592AB8">
        <w:t>,</w:t>
      </w:r>
    </w:p>
    <w:p w:rsidR="00B909A6" w:rsidRDefault="00B909A6" w:rsidP="00B04B31">
      <w:pPr>
        <w:pStyle w:val="Odstavecseseznamem"/>
        <w:numPr>
          <w:ilvl w:val="1"/>
          <w:numId w:val="14"/>
        </w:numPr>
        <w:ind w:left="1134" w:hanging="425"/>
        <w:jc w:val="both"/>
      </w:pPr>
      <w:r w:rsidRPr="00E77EF8">
        <w:t>provést odhlášení při kaž</w:t>
      </w:r>
      <w:r w:rsidR="003712B3">
        <w:t>dém odchodu od pracovní stanice</w:t>
      </w:r>
      <w:r w:rsidR="00592AB8">
        <w:t>,</w:t>
      </w:r>
    </w:p>
    <w:p w:rsidR="00B909A6" w:rsidRDefault="00B909A6" w:rsidP="00B04B31">
      <w:pPr>
        <w:pStyle w:val="Odstavecseseznamem"/>
        <w:numPr>
          <w:ilvl w:val="1"/>
          <w:numId w:val="14"/>
        </w:numPr>
        <w:ind w:left="1134" w:hanging="425"/>
        <w:jc w:val="both"/>
      </w:pPr>
      <w:r w:rsidRPr="00E77EF8">
        <w:t>v případě zjištění porušení opatření k ochraně osobních údajů (nebo nabytí podezření) informovat neprodleně tajemníka</w:t>
      </w:r>
      <w:r w:rsidR="00592AB8">
        <w:t xml:space="preserve"> ÚMČ.</w:t>
      </w:r>
    </w:p>
    <w:p w:rsidR="00B909A6" w:rsidRDefault="00B909A6" w:rsidP="00B04B31">
      <w:pPr>
        <w:pStyle w:val="Odstavecseseznamem"/>
        <w:numPr>
          <w:ilvl w:val="0"/>
          <w:numId w:val="13"/>
        </w:numPr>
        <w:jc w:val="both"/>
      </w:pPr>
      <w:r w:rsidRPr="00E77EF8">
        <w:t>Všichni zaměstnanci, kteří se podílejí na sběru a zpracování osobních údajů musí být seznámeni se zněním zá</w:t>
      </w:r>
      <w:r>
        <w:t>kona na ochranu osobních údajů.</w:t>
      </w:r>
    </w:p>
    <w:p w:rsidR="00773326" w:rsidRDefault="00773326" w:rsidP="00B04B31">
      <w:pPr>
        <w:pStyle w:val="Odstavecseseznamem"/>
        <w:numPr>
          <w:ilvl w:val="0"/>
          <w:numId w:val="13"/>
        </w:numPr>
        <w:jc w:val="both"/>
      </w:pPr>
      <w:r w:rsidRPr="00FB0189">
        <w:t xml:space="preserve">Veškeré fyzické dokumenty, které obsahují osobní </w:t>
      </w:r>
      <w:r w:rsidRPr="00592AB8">
        <w:t xml:space="preserve">údaje, </w:t>
      </w:r>
      <w:r w:rsidR="003712B3" w:rsidRPr="004824FA">
        <w:rPr>
          <w:bCs/>
        </w:rPr>
        <w:t>oprávněné osoby</w:t>
      </w:r>
      <w:r w:rsidRPr="00592AB8">
        <w:t xml:space="preserve"> ukládají </w:t>
      </w:r>
      <w:r w:rsidR="004824FA">
        <w:t>v</w:t>
      </w:r>
      <w:r w:rsidRPr="00592AB8">
        <w:t xml:space="preserve"> místnostech, kam je zamezen přístup nepovolaných osob, v uzamčeném prostoru. Přístup k těmto písemnostem je omezen pouze na zaměstnance</w:t>
      </w:r>
      <w:r w:rsidRPr="00FB0189">
        <w:t xml:space="preserve">, kteří s nimi pracují v rámci svých pracovních úkolů. </w:t>
      </w:r>
      <w:r w:rsidR="002B70E3" w:rsidRPr="00FB0189">
        <w:t xml:space="preserve">Dokumenty se uchovávají pouze po nezbytnou dobu a následně se </w:t>
      </w:r>
      <w:r w:rsidR="004824FA">
        <w:t xml:space="preserve">skartují či </w:t>
      </w:r>
      <w:r w:rsidR="002B70E3" w:rsidRPr="00FB0189">
        <w:t>archivují. Tyto činnosti se řídí spisovým řádem.</w:t>
      </w:r>
    </w:p>
    <w:p w:rsidR="00581E65" w:rsidRDefault="00773326" w:rsidP="00B04B31">
      <w:pPr>
        <w:pStyle w:val="Odstavecseseznamem"/>
        <w:numPr>
          <w:ilvl w:val="0"/>
          <w:numId w:val="13"/>
        </w:numPr>
        <w:jc w:val="both"/>
      </w:pPr>
      <w:r w:rsidRPr="00FB0189">
        <w:t xml:space="preserve">Pokud je pro </w:t>
      </w:r>
      <w:r w:rsidRPr="00592AB8">
        <w:t>plnění pracovních úkolů nezbytné vytvářet soubory s osobními údaji</w:t>
      </w:r>
      <w:r w:rsidR="00581E65" w:rsidRPr="00592AB8">
        <w:t xml:space="preserve"> příslušné aplikace</w:t>
      </w:r>
      <w:r w:rsidRPr="00592AB8">
        <w:t xml:space="preserve">, ukládá je </w:t>
      </w:r>
      <w:r w:rsidR="0001439C" w:rsidRPr="004824FA">
        <w:rPr>
          <w:bCs/>
        </w:rPr>
        <w:t xml:space="preserve">oprávněná osoba </w:t>
      </w:r>
      <w:r w:rsidRPr="00592AB8">
        <w:t xml:space="preserve">na předem určená místa na síťovém disku s omezenými přístupovými právy, a tyto soubory maže, jakmile je nepotřebuje. </w:t>
      </w:r>
    </w:p>
    <w:p w:rsidR="00581E65" w:rsidRDefault="0001439C" w:rsidP="00B04B31">
      <w:pPr>
        <w:pStyle w:val="Odstavecseseznamem"/>
        <w:numPr>
          <w:ilvl w:val="0"/>
          <w:numId w:val="13"/>
        </w:numPr>
        <w:jc w:val="both"/>
      </w:pPr>
      <w:r w:rsidRPr="004824FA">
        <w:rPr>
          <w:bCs/>
        </w:rPr>
        <w:t xml:space="preserve">Oprávněná osoba </w:t>
      </w:r>
      <w:r w:rsidR="00773326" w:rsidRPr="00592AB8">
        <w:t xml:space="preserve">soubory se seznamy osobních údajů uživatelů nikdy nenahrává na přenosná média (ani na notebooky) a </w:t>
      </w:r>
      <w:proofErr w:type="spellStart"/>
      <w:r w:rsidR="00773326" w:rsidRPr="00592AB8">
        <w:t>cloudy</w:t>
      </w:r>
      <w:proofErr w:type="spellEnd"/>
      <w:r w:rsidR="00773326" w:rsidRPr="00592AB8">
        <w:t>, neposílá emailem ani nevystavuje na intranetu. Výjimky povoluje</w:t>
      </w:r>
      <w:r w:rsidR="00773326" w:rsidRPr="00FB0189">
        <w:t xml:space="preserve"> </w:t>
      </w:r>
      <w:r w:rsidR="004E2507" w:rsidRPr="00FB0189">
        <w:t>tajemník ÚMČ</w:t>
      </w:r>
      <w:r w:rsidR="00773326" w:rsidRPr="00FB0189">
        <w:t xml:space="preserve">. </w:t>
      </w:r>
    </w:p>
    <w:p w:rsidR="002B70E3" w:rsidRDefault="00581E65" w:rsidP="00B04B31">
      <w:pPr>
        <w:pStyle w:val="Odstavecseseznamem"/>
        <w:numPr>
          <w:ilvl w:val="0"/>
          <w:numId w:val="13"/>
        </w:numPr>
        <w:jc w:val="both"/>
      </w:pPr>
      <w:r w:rsidRPr="00FB0189">
        <w:t>Správce IT</w:t>
      </w:r>
      <w:r w:rsidR="00773326" w:rsidRPr="00FB0189">
        <w:t xml:space="preserve"> pravidelně posuzuje úroveň zabezpečení IT systémů (včetně systému uživatelských oprávnění) s ohledem na rizika pro subjekty osobních údajů, a v případě potřeby přijímá vhodná technická a organizační opatření, aby rizika </w:t>
      </w:r>
      <w:proofErr w:type="gramStart"/>
      <w:r w:rsidR="00773326" w:rsidRPr="00FB0189">
        <w:t>zmírnil.</w:t>
      </w:r>
      <w:r w:rsidR="00EF5EAC" w:rsidRPr="00EF5EAC">
        <w:rPr>
          <w:b/>
          <w:bCs/>
          <w:color w:val="FF0000"/>
          <w:vertAlign w:val="superscript"/>
        </w:rPr>
        <w:t>6</w:t>
      </w:r>
      <w:proofErr w:type="gramEnd"/>
      <w:r w:rsidR="00773326" w:rsidRPr="00FB0189">
        <w:t xml:space="preserve"> </w:t>
      </w:r>
    </w:p>
    <w:p w:rsidR="00773326" w:rsidRPr="00FB0189" w:rsidRDefault="00773326" w:rsidP="00B04B31">
      <w:pPr>
        <w:pStyle w:val="Odstavecseseznamem"/>
        <w:numPr>
          <w:ilvl w:val="0"/>
          <w:numId w:val="13"/>
        </w:numPr>
        <w:jc w:val="both"/>
      </w:pPr>
      <w:r w:rsidRPr="00FB0189">
        <w:t xml:space="preserve">Vedoucí zaměstnanci plnění povinností k ochraně osobních údajů průběžně kontrolují. </w:t>
      </w:r>
    </w:p>
    <w:p w:rsidR="00773326" w:rsidRPr="003712B3" w:rsidRDefault="00EF5EAC" w:rsidP="003E48A3">
      <w:pPr>
        <w:spacing w:before="100" w:beforeAutospacing="1" w:after="100" w:afterAutospacing="1"/>
        <w:rPr>
          <w:sz w:val="20"/>
          <w:szCs w:val="20"/>
        </w:rPr>
      </w:pPr>
      <w:r w:rsidRPr="00EF5EAC">
        <w:rPr>
          <w:b/>
          <w:bCs/>
          <w:color w:val="FF0000"/>
          <w:sz w:val="20"/>
          <w:szCs w:val="20"/>
        </w:rPr>
        <w:t>6</w:t>
      </w:r>
      <w:r w:rsidR="00773326" w:rsidRPr="003712B3">
        <w:rPr>
          <w:sz w:val="20"/>
          <w:szCs w:val="20"/>
        </w:rPr>
        <w:t xml:space="preserve"> Čl. 32 Nařízení </w:t>
      </w:r>
      <w:r w:rsidR="00773326" w:rsidRPr="003712B3">
        <w:rPr>
          <w:sz w:val="20"/>
          <w:szCs w:val="20"/>
        </w:rPr>
        <w:br/>
      </w:r>
    </w:p>
    <w:p w:rsidR="00773326" w:rsidRPr="004824FA" w:rsidRDefault="00773326" w:rsidP="00B04B31">
      <w:pPr>
        <w:pStyle w:val="Odstavecseseznamem"/>
        <w:numPr>
          <w:ilvl w:val="0"/>
          <w:numId w:val="6"/>
        </w:numPr>
        <w:rPr>
          <w:b/>
        </w:rPr>
      </w:pPr>
      <w:r w:rsidRPr="004824FA">
        <w:rPr>
          <w:b/>
        </w:rPr>
        <w:t>Porušení zabezpečení</w:t>
      </w:r>
    </w:p>
    <w:p w:rsidR="00773326" w:rsidRDefault="00773326" w:rsidP="00B04B31">
      <w:pPr>
        <w:pStyle w:val="Odstavecseseznamem"/>
        <w:numPr>
          <w:ilvl w:val="0"/>
          <w:numId w:val="15"/>
        </w:numPr>
        <w:spacing w:before="100" w:beforeAutospacing="1" w:after="100" w:afterAutospacing="1"/>
        <w:jc w:val="both"/>
      </w:pPr>
      <w:r w:rsidRPr="00FB0189">
        <w:lastRenderedPageBreak/>
        <w:t xml:space="preserve">Zjistí-li kterýkoli zaměstnanec, že došlo k porušení zabezpečení osobních údajů, případně úniku osobních údajů, neprodleně o tom odešle zprávu odpovědnému </w:t>
      </w:r>
      <w:r w:rsidR="002710F1" w:rsidRPr="00FB0189">
        <w:t>zaměstnanci, který ve spolupráci s pověřencem pro ochranu osobních údajů zajistí další kroky.</w:t>
      </w:r>
      <w:r w:rsidR="0001439C">
        <w:t xml:space="preserve"> V případě rizika poruše</w:t>
      </w:r>
      <w:r w:rsidR="003712B3">
        <w:t xml:space="preserve">ní zabezpečení počítačové sítě </w:t>
      </w:r>
      <w:r w:rsidR="0001439C">
        <w:t xml:space="preserve">hlásí problém na </w:t>
      </w:r>
      <w:proofErr w:type="spellStart"/>
      <w:r w:rsidR="0001439C">
        <w:t>helpdesk</w:t>
      </w:r>
      <w:proofErr w:type="spellEnd"/>
      <w:r w:rsidR="0001439C">
        <w:t xml:space="preserve"> správce počítačové sítě.</w:t>
      </w:r>
    </w:p>
    <w:p w:rsidR="00773326" w:rsidRDefault="0001439C" w:rsidP="00B04B31">
      <w:pPr>
        <w:pStyle w:val="Odstavecseseznamem"/>
        <w:numPr>
          <w:ilvl w:val="0"/>
          <w:numId w:val="15"/>
        </w:numPr>
        <w:spacing w:before="100" w:beforeAutospacing="1" w:after="100" w:afterAutospacing="1"/>
        <w:jc w:val="both"/>
      </w:pPr>
      <w:r>
        <w:t xml:space="preserve">Oprávněná osoba </w:t>
      </w:r>
      <w:r w:rsidR="002710F1" w:rsidRPr="00FB0189">
        <w:t xml:space="preserve">ve spolupráci s pověřencem pro ochranu osobních údajů </w:t>
      </w:r>
      <w:r w:rsidR="00773326" w:rsidRPr="00FB0189">
        <w:t>vyhodnotí riziko pro práva a svobody fyzických osob, a pokud vyhodnotí, že riziko existuje, ohlásí tuto skutečnost nejpozději do 72 hodin od porušení zabezpečení ÚOOÚ.</w:t>
      </w:r>
      <w:r w:rsidR="00EF5EAC" w:rsidRPr="00EF5EAC">
        <w:rPr>
          <w:b/>
          <w:bCs/>
          <w:color w:val="FF0000"/>
          <w:vertAlign w:val="superscript"/>
        </w:rPr>
        <w:t xml:space="preserve"> 7</w:t>
      </w:r>
      <w:r w:rsidR="00773326" w:rsidRPr="00FB0189">
        <w:t xml:space="preserve"> </w:t>
      </w:r>
    </w:p>
    <w:p w:rsidR="00773326" w:rsidRPr="00FB0189" w:rsidRDefault="00773326" w:rsidP="00B04B31">
      <w:pPr>
        <w:pStyle w:val="Odstavecseseznamem"/>
        <w:numPr>
          <w:ilvl w:val="0"/>
          <w:numId w:val="15"/>
        </w:numPr>
        <w:spacing w:before="100" w:beforeAutospacing="1" w:after="100" w:afterAutospacing="1"/>
        <w:jc w:val="both"/>
      </w:pPr>
      <w:r w:rsidRPr="00FB0189">
        <w:t xml:space="preserve">Pokud je riziko pro práva a svobody fyzických osob vysoké, zejména pokud došlo k úniku hesel, odpovědný </w:t>
      </w:r>
      <w:r w:rsidR="0001439C">
        <w:t xml:space="preserve">oprávněná osoba </w:t>
      </w:r>
      <w:r w:rsidRPr="00FB0189">
        <w:t xml:space="preserve">vhodným způsob informuje dotčené </w:t>
      </w:r>
      <w:proofErr w:type="gramStart"/>
      <w:r w:rsidRPr="00FB0189">
        <w:t>osoby.</w:t>
      </w:r>
      <w:r w:rsidR="00DA4103" w:rsidRPr="00DA4103">
        <w:rPr>
          <w:b/>
          <w:bCs/>
          <w:color w:val="FF0000"/>
          <w:vertAlign w:val="superscript"/>
        </w:rPr>
        <w:t>8</w:t>
      </w:r>
      <w:proofErr w:type="gramEnd"/>
      <w:r w:rsidRPr="00FB0189">
        <w:t xml:space="preserve"> </w:t>
      </w:r>
    </w:p>
    <w:p w:rsidR="00773326" w:rsidRDefault="00DA4103" w:rsidP="00773326">
      <w:pPr>
        <w:spacing w:before="100" w:beforeAutospacing="1" w:after="100" w:afterAutospacing="1"/>
      </w:pPr>
      <w:r w:rsidRPr="00DA4103">
        <w:rPr>
          <w:b/>
          <w:color w:val="FF0000"/>
          <w:sz w:val="20"/>
          <w:szCs w:val="20"/>
        </w:rPr>
        <w:t>7</w:t>
      </w:r>
      <w:r w:rsidR="00773326" w:rsidRPr="00B260BA">
        <w:rPr>
          <w:sz w:val="20"/>
          <w:szCs w:val="20"/>
        </w:rPr>
        <w:t xml:space="preserve"> Čl. 33 Nařízení </w:t>
      </w:r>
      <w:r w:rsidR="00773326" w:rsidRPr="00B260BA">
        <w:rPr>
          <w:sz w:val="20"/>
          <w:szCs w:val="20"/>
        </w:rPr>
        <w:br/>
      </w:r>
      <w:r>
        <w:rPr>
          <w:b/>
          <w:bCs/>
          <w:color w:val="CC0000"/>
          <w:sz w:val="20"/>
          <w:szCs w:val="20"/>
        </w:rPr>
        <w:t>8</w:t>
      </w:r>
      <w:r w:rsidR="00773326" w:rsidRPr="00B260BA">
        <w:rPr>
          <w:sz w:val="20"/>
          <w:szCs w:val="20"/>
        </w:rPr>
        <w:t xml:space="preserve"> Čl. 34 Nařízení</w:t>
      </w:r>
      <w:r w:rsidR="00773326" w:rsidRPr="00B260BA">
        <w:t xml:space="preserve"> </w:t>
      </w:r>
    </w:p>
    <w:p w:rsidR="003712B3" w:rsidRPr="004824FA" w:rsidRDefault="003712B3" w:rsidP="00B04B31">
      <w:pPr>
        <w:pStyle w:val="Odstavecseseznamem"/>
        <w:numPr>
          <w:ilvl w:val="0"/>
          <w:numId w:val="6"/>
        </w:numPr>
        <w:rPr>
          <w:b/>
        </w:rPr>
      </w:pPr>
      <w:r w:rsidRPr="004824FA">
        <w:rPr>
          <w:b/>
        </w:rPr>
        <w:t>Likvidace osobních údajů</w:t>
      </w:r>
    </w:p>
    <w:p w:rsidR="003712B3" w:rsidRPr="003712B3" w:rsidRDefault="003712B3" w:rsidP="003712B3"/>
    <w:p w:rsidR="003712B3" w:rsidRPr="003712B3" w:rsidRDefault="003712B3" w:rsidP="00DA4103">
      <w:pPr>
        <w:pStyle w:val="Odstavecseseznamem"/>
        <w:numPr>
          <w:ilvl w:val="0"/>
          <w:numId w:val="18"/>
        </w:numPr>
        <w:jc w:val="both"/>
      </w:pPr>
      <w:r w:rsidRPr="003712B3">
        <w:t>Pokud městská část přestane shromažďovat a zpracovávat osobní údaje, provede jejich likvidaci následujícím způsobem:</w:t>
      </w:r>
    </w:p>
    <w:p w:rsidR="003712B3" w:rsidRDefault="003712B3" w:rsidP="00B04B31">
      <w:pPr>
        <w:pStyle w:val="Odstavecseseznamem"/>
        <w:numPr>
          <w:ilvl w:val="1"/>
          <w:numId w:val="16"/>
        </w:numPr>
        <w:ind w:left="1276" w:hanging="567"/>
        <w:jc w:val="both"/>
      </w:pPr>
      <w:r w:rsidRPr="003712B3">
        <w:t>skartace originálních písemností</w:t>
      </w:r>
      <w:r w:rsidR="003E48A3">
        <w:t>;</w:t>
      </w:r>
    </w:p>
    <w:p w:rsidR="003712B3" w:rsidRDefault="003712B3" w:rsidP="00B04B31">
      <w:pPr>
        <w:pStyle w:val="Odstavecseseznamem"/>
        <w:numPr>
          <w:ilvl w:val="1"/>
          <w:numId w:val="16"/>
        </w:numPr>
        <w:ind w:left="1276" w:hanging="567"/>
        <w:jc w:val="both"/>
      </w:pPr>
      <w:r w:rsidRPr="003712B3">
        <w:t xml:space="preserve">vymazání v elektronických databázích, popř. jejich </w:t>
      </w:r>
      <w:proofErr w:type="spellStart"/>
      <w:r w:rsidRPr="003712B3">
        <w:t>anonym</w:t>
      </w:r>
      <w:r w:rsidR="004824FA">
        <w:t>izace</w:t>
      </w:r>
      <w:proofErr w:type="spellEnd"/>
      <w:r w:rsidR="004824FA">
        <w:t xml:space="preserve"> (výmaz jména, příjmení, </w:t>
      </w:r>
      <w:r w:rsidRPr="003712B3">
        <w:t>adresy bydliště apod.)</w:t>
      </w:r>
      <w:r w:rsidR="003E48A3">
        <w:t>;</w:t>
      </w:r>
    </w:p>
    <w:p w:rsidR="003712B3" w:rsidRPr="003712B3" w:rsidRDefault="003712B3" w:rsidP="00B04B31">
      <w:pPr>
        <w:pStyle w:val="Odstavecseseznamem"/>
        <w:numPr>
          <w:ilvl w:val="1"/>
          <w:numId w:val="16"/>
        </w:numPr>
        <w:ind w:left="1276" w:hanging="567"/>
        <w:jc w:val="both"/>
      </w:pPr>
      <w:r w:rsidRPr="003712B3">
        <w:t>trvalé vyloučení z dalšího zpracování (odstranění záznamu apod.)</w:t>
      </w:r>
      <w:r w:rsidR="003E48A3">
        <w:t>.</w:t>
      </w:r>
    </w:p>
    <w:p w:rsidR="003712B3" w:rsidRPr="00B260BA" w:rsidRDefault="003712B3" w:rsidP="00773326">
      <w:pPr>
        <w:spacing w:before="100" w:beforeAutospacing="1" w:after="100" w:afterAutospacing="1"/>
      </w:pPr>
    </w:p>
    <w:p w:rsidR="007A285B" w:rsidRDefault="007A285B" w:rsidP="00CB40EF">
      <w:pPr>
        <w:shd w:val="clear" w:color="auto" w:fill="FFFFFF"/>
        <w:tabs>
          <w:tab w:val="left" w:pos="355"/>
        </w:tabs>
        <w:jc w:val="both"/>
        <w:rPr>
          <w:color w:val="000000" w:themeColor="text1"/>
        </w:rPr>
      </w:pPr>
    </w:p>
    <w:p w:rsidR="00E0010F" w:rsidRPr="005E1089" w:rsidRDefault="00E0010F" w:rsidP="003712B3">
      <w:pPr>
        <w:shd w:val="clear" w:color="auto" w:fill="FFFFFF"/>
        <w:tabs>
          <w:tab w:val="left" w:pos="355"/>
        </w:tabs>
        <w:spacing w:line="278" w:lineRule="exact"/>
        <w:jc w:val="center"/>
        <w:rPr>
          <w:b/>
          <w:sz w:val="28"/>
          <w:szCs w:val="28"/>
        </w:rPr>
      </w:pPr>
      <w:r w:rsidRPr="005E1089">
        <w:rPr>
          <w:b/>
          <w:sz w:val="28"/>
          <w:szCs w:val="28"/>
        </w:rPr>
        <w:t xml:space="preserve">Čl. </w:t>
      </w:r>
      <w:r w:rsidR="00C25843" w:rsidRPr="005E1089">
        <w:rPr>
          <w:b/>
          <w:sz w:val="28"/>
          <w:szCs w:val="28"/>
        </w:rPr>
        <w:t>V</w:t>
      </w:r>
    </w:p>
    <w:p w:rsidR="00C51BDE" w:rsidRPr="005E1089" w:rsidRDefault="00C51BDE" w:rsidP="003712B3">
      <w:pPr>
        <w:shd w:val="clear" w:color="auto" w:fill="FFFFFF"/>
        <w:tabs>
          <w:tab w:val="left" w:pos="355"/>
        </w:tabs>
        <w:spacing w:line="278" w:lineRule="exact"/>
        <w:jc w:val="center"/>
        <w:rPr>
          <w:b/>
          <w:bCs/>
          <w:sz w:val="28"/>
          <w:szCs w:val="28"/>
        </w:rPr>
      </w:pPr>
      <w:r w:rsidRPr="005E1089">
        <w:rPr>
          <w:b/>
          <w:bCs/>
          <w:sz w:val="28"/>
          <w:szCs w:val="28"/>
        </w:rPr>
        <w:t>Závěre</w:t>
      </w:r>
      <w:r w:rsidR="00E0010F" w:rsidRPr="005E1089">
        <w:rPr>
          <w:b/>
          <w:bCs/>
          <w:sz w:val="28"/>
          <w:szCs w:val="28"/>
        </w:rPr>
        <w:t>č</w:t>
      </w:r>
      <w:r w:rsidRPr="005E1089">
        <w:rPr>
          <w:b/>
          <w:bCs/>
          <w:sz w:val="28"/>
          <w:szCs w:val="28"/>
        </w:rPr>
        <w:t>ná ustanovení</w:t>
      </w:r>
    </w:p>
    <w:p w:rsidR="000B479B" w:rsidRDefault="00C51BDE" w:rsidP="00B04B31">
      <w:pPr>
        <w:pStyle w:val="Odstavecseseznamem"/>
        <w:numPr>
          <w:ilvl w:val="0"/>
          <w:numId w:val="17"/>
        </w:numPr>
        <w:ind w:left="426" w:hanging="426"/>
      </w:pPr>
      <w:r w:rsidRPr="005E1089">
        <w:t xml:space="preserve">Vedoucí úředník je povinen seznámit všechny své podřízené zaměstnance s touto směrnicí. </w:t>
      </w:r>
    </w:p>
    <w:p w:rsidR="00C51BDE" w:rsidRDefault="00C51BDE" w:rsidP="00B04B31">
      <w:pPr>
        <w:pStyle w:val="Odstavecseseznamem"/>
        <w:numPr>
          <w:ilvl w:val="0"/>
          <w:numId w:val="17"/>
        </w:numPr>
        <w:ind w:left="426" w:hanging="426"/>
      </w:pPr>
      <w:r w:rsidRPr="00F40FA9">
        <w:t xml:space="preserve">Směrnice byla schválena </w:t>
      </w:r>
      <w:r w:rsidR="00B04B31">
        <w:t>starostkou</w:t>
      </w:r>
      <w:r w:rsidRPr="00F40FA9">
        <w:t xml:space="preserve"> </w:t>
      </w:r>
      <w:r w:rsidR="00B04B31">
        <w:t>M</w:t>
      </w:r>
      <w:r w:rsidRPr="00F40FA9">
        <w:t>ěstské části Praha</w:t>
      </w:r>
      <w:r w:rsidR="000B27F4" w:rsidRPr="00F40FA9">
        <w:t>-</w:t>
      </w:r>
      <w:r w:rsidR="00B04B31">
        <w:t>Kunratice</w:t>
      </w:r>
      <w:r w:rsidRPr="00F40FA9">
        <w:t xml:space="preserve"> dne </w:t>
      </w:r>
      <w:proofErr w:type="gramStart"/>
      <w:r w:rsidR="00B04B31">
        <w:t>23.5.2018</w:t>
      </w:r>
      <w:proofErr w:type="gramEnd"/>
      <w:r w:rsidR="00AA29EC" w:rsidRPr="00F40FA9">
        <w:t xml:space="preserve"> </w:t>
      </w:r>
      <w:r w:rsidR="00B04B31">
        <w:t>na poradě č. 150.</w:t>
      </w:r>
    </w:p>
    <w:p w:rsidR="00C51BDE" w:rsidRPr="00B04B31" w:rsidRDefault="00C51BDE" w:rsidP="00B04B31">
      <w:pPr>
        <w:pStyle w:val="Odstavecseseznamem"/>
        <w:numPr>
          <w:ilvl w:val="0"/>
          <w:numId w:val="17"/>
        </w:numPr>
        <w:ind w:left="426" w:hanging="426"/>
      </w:pPr>
      <w:r w:rsidRPr="00B04B31">
        <w:rPr>
          <w:spacing w:val="2"/>
        </w:rPr>
        <w:t xml:space="preserve">Směrnice nabývá účinnosti dne </w:t>
      </w:r>
      <w:proofErr w:type="gramStart"/>
      <w:r w:rsidR="002710F1" w:rsidRPr="00B04B31">
        <w:rPr>
          <w:spacing w:val="2"/>
        </w:rPr>
        <w:t>25.5.2018</w:t>
      </w:r>
      <w:proofErr w:type="gramEnd"/>
    </w:p>
    <w:p w:rsidR="00BE6EBC" w:rsidRPr="00B04B31" w:rsidRDefault="00BE6EBC" w:rsidP="00BE6EBC">
      <w:pPr>
        <w:shd w:val="clear" w:color="auto" w:fill="FFFFFF"/>
      </w:pPr>
    </w:p>
    <w:p w:rsidR="00BE6EBC" w:rsidRPr="005E1089" w:rsidRDefault="00BE6EBC" w:rsidP="00BE6EBC">
      <w:pPr>
        <w:shd w:val="clear" w:color="auto" w:fill="FFFFFF"/>
      </w:pPr>
    </w:p>
    <w:p w:rsidR="003E447C" w:rsidRDefault="00BE6EBC" w:rsidP="00BE6EBC">
      <w:pPr>
        <w:shd w:val="clear" w:color="auto" w:fill="FFFFFF"/>
        <w:ind w:left="68"/>
        <w:jc w:val="both"/>
      </w:pPr>
      <w:r w:rsidRPr="005E1089">
        <w:t xml:space="preserve">V Praze </w:t>
      </w:r>
      <w:r w:rsidR="002710F1">
        <w:t xml:space="preserve">dne </w:t>
      </w:r>
      <w:proofErr w:type="gramStart"/>
      <w:r w:rsidR="00B04B31">
        <w:t>23.5.2018</w:t>
      </w:r>
      <w:proofErr w:type="gramEnd"/>
    </w:p>
    <w:p w:rsidR="003E447C" w:rsidRDefault="003E447C" w:rsidP="00BE6EBC">
      <w:pPr>
        <w:shd w:val="clear" w:color="auto" w:fill="FFFFFF"/>
        <w:ind w:left="68"/>
        <w:jc w:val="both"/>
      </w:pPr>
    </w:p>
    <w:p w:rsidR="003E447C" w:rsidRDefault="003E447C" w:rsidP="00BE6EBC">
      <w:pPr>
        <w:shd w:val="clear" w:color="auto" w:fill="FFFFFF"/>
        <w:ind w:left="68"/>
        <w:jc w:val="both"/>
      </w:pPr>
    </w:p>
    <w:p w:rsidR="00224F92" w:rsidRDefault="00224F92" w:rsidP="00BE6EBC">
      <w:pPr>
        <w:shd w:val="clear" w:color="auto" w:fill="FFFFFF"/>
        <w:ind w:left="68"/>
        <w:jc w:val="both"/>
      </w:pPr>
    </w:p>
    <w:p w:rsidR="00224F92" w:rsidRDefault="00224F92" w:rsidP="00BE6EBC">
      <w:pPr>
        <w:shd w:val="clear" w:color="auto" w:fill="FFFFFF"/>
        <w:ind w:left="68"/>
        <w:jc w:val="both"/>
      </w:pPr>
    </w:p>
    <w:p w:rsidR="00224F92" w:rsidRDefault="00224F92" w:rsidP="00BE6EBC">
      <w:pPr>
        <w:shd w:val="clear" w:color="auto" w:fill="FFFFFF"/>
        <w:ind w:left="68"/>
        <w:jc w:val="both"/>
      </w:pPr>
      <w:r>
        <w:t xml:space="preserve">Ing. </w:t>
      </w:r>
      <w:proofErr w:type="gramStart"/>
      <w:r>
        <w:t xml:space="preserve">Lenka   A l i n č o v á </w:t>
      </w:r>
      <w:r>
        <w:tab/>
      </w:r>
      <w:r>
        <w:tab/>
      </w:r>
      <w:r>
        <w:tab/>
      </w:r>
      <w:r>
        <w:tab/>
        <w:t>Jitka</w:t>
      </w:r>
      <w:proofErr w:type="gramEnd"/>
      <w:r>
        <w:t xml:space="preserve">    V o ř í š k o v á </w:t>
      </w:r>
    </w:p>
    <w:p w:rsidR="00BE6EBC" w:rsidRPr="005E1089" w:rsidRDefault="00224F92" w:rsidP="003E447C">
      <w:pPr>
        <w:shd w:val="clear" w:color="auto" w:fill="FFFFFF"/>
        <w:ind w:left="68"/>
        <w:jc w:val="both"/>
      </w:pPr>
      <w:r>
        <w:t>starostka MČ Praha-Kunratice</w:t>
      </w:r>
      <w:r w:rsidR="003E447C">
        <w:tab/>
      </w:r>
      <w:r w:rsidR="003E447C">
        <w:tab/>
        <w:t xml:space="preserve">   tajemnice ÚMČ Praha-</w:t>
      </w:r>
      <w:r>
        <w:t>Kunratice</w:t>
      </w:r>
      <w:bookmarkStart w:id="0" w:name="_GoBack"/>
      <w:bookmarkEnd w:id="0"/>
    </w:p>
    <w:p w:rsidR="00BE6EBC" w:rsidRPr="005E1089" w:rsidRDefault="00BE6EBC" w:rsidP="00BE6EBC">
      <w:pPr>
        <w:tabs>
          <w:tab w:val="left" w:pos="1470"/>
        </w:tabs>
      </w:pPr>
    </w:p>
    <w:p w:rsidR="00912589" w:rsidRDefault="00912589" w:rsidP="00BE6EBC">
      <w:pPr>
        <w:tabs>
          <w:tab w:val="left" w:pos="1470"/>
        </w:tabs>
      </w:pPr>
    </w:p>
    <w:p w:rsidR="003712B3" w:rsidRDefault="003712B3" w:rsidP="00BE6EBC">
      <w:pPr>
        <w:tabs>
          <w:tab w:val="left" w:pos="1470"/>
        </w:tabs>
      </w:pPr>
    </w:p>
    <w:p w:rsidR="00BE6EBC" w:rsidRPr="005E1089" w:rsidRDefault="00BE6EBC" w:rsidP="00BE6EBC">
      <w:pPr>
        <w:tabs>
          <w:tab w:val="left" w:pos="1470"/>
        </w:tabs>
      </w:pPr>
      <w:r w:rsidRPr="005E1089">
        <w:t xml:space="preserve">Seznam příloh:  </w:t>
      </w:r>
    </w:p>
    <w:p w:rsidR="00D91055" w:rsidRDefault="00BE6EBC" w:rsidP="002710F1">
      <w:pPr>
        <w:tabs>
          <w:tab w:val="left" w:pos="1470"/>
        </w:tabs>
      </w:pPr>
      <w:r w:rsidRPr="005E1089">
        <w:t xml:space="preserve">příloha č. </w:t>
      </w:r>
      <w:r w:rsidR="005E1089">
        <w:t>1</w:t>
      </w:r>
      <w:r w:rsidRPr="005E1089">
        <w:t xml:space="preserve"> – P</w:t>
      </w:r>
      <w:r w:rsidR="002710F1">
        <w:t>řehled</w:t>
      </w:r>
      <w:r w:rsidR="00A325E7">
        <w:t xml:space="preserve"> agend a</w:t>
      </w:r>
      <w:r w:rsidR="002710F1">
        <w:t xml:space="preserve"> zpracovávaných</w:t>
      </w:r>
      <w:r w:rsidR="00A325E7">
        <w:t xml:space="preserve"> osobních údajů ÚMČ</w:t>
      </w:r>
    </w:p>
    <w:sectPr w:rsidR="00D91055" w:rsidSect="002710F1">
      <w:footerReference w:type="even" r:id="rId9"/>
      <w:footerReference w:type="default" r:id="rId10"/>
      <w:headerReference w:type="first" r:id="rId11"/>
      <w:pgSz w:w="11909" w:h="16834"/>
      <w:pgMar w:top="1440" w:right="1106" w:bottom="720" w:left="1985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44" w:rsidRDefault="00E01E44">
      <w:r>
        <w:separator/>
      </w:r>
    </w:p>
  </w:endnote>
  <w:endnote w:type="continuationSeparator" w:id="0">
    <w:p w:rsidR="00E01E44" w:rsidRDefault="00E0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45" w:rsidRDefault="005010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01045" w:rsidRDefault="005010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72254"/>
      <w:docPartObj>
        <w:docPartGallery w:val="Page Numbers (Bottom of Page)"/>
        <w:docPartUnique/>
      </w:docPartObj>
    </w:sdtPr>
    <w:sdtEndPr/>
    <w:sdtContent>
      <w:p w:rsidR="00501045" w:rsidRDefault="005010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F92">
          <w:rPr>
            <w:noProof/>
          </w:rPr>
          <w:t>5</w:t>
        </w:r>
        <w:r>
          <w:fldChar w:fldCharType="end"/>
        </w:r>
      </w:p>
    </w:sdtContent>
  </w:sdt>
  <w:p w:rsidR="00501045" w:rsidRDefault="005010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44" w:rsidRDefault="00E01E44">
      <w:r>
        <w:separator/>
      </w:r>
    </w:p>
  </w:footnote>
  <w:footnote w:type="continuationSeparator" w:id="0">
    <w:p w:rsidR="00E01E44" w:rsidRDefault="00E01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CB9" w:rsidRDefault="00A74CB9">
    <w:pPr>
      <w:pStyle w:val="Zhlav"/>
    </w:pPr>
  </w:p>
  <w:p w:rsidR="00A74CB9" w:rsidRDefault="00A74CB9">
    <w:pPr>
      <w:pStyle w:val="Zhlav"/>
    </w:pPr>
  </w:p>
  <w:p w:rsidR="00A74CB9" w:rsidRDefault="00A74CB9">
    <w:pPr>
      <w:pStyle w:val="Zhlav"/>
    </w:pPr>
  </w:p>
  <w:p w:rsidR="00A74CB9" w:rsidRDefault="00A74C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8F047E"/>
    <w:multiLevelType w:val="hybridMultilevel"/>
    <w:tmpl w:val="F2E6E720"/>
    <w:lvl w:ilvl="0" w:tplc="87CC2A1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2960"/>
    <w:multiLevelType w:val="hybridMultilevel"/>
    <w:tmpl w:val="7EA64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166BE"/>
    <w:multiLevelType w:val="hybridMultilevel"/>
    <w:tmpl w:val="61322BE0"/>
    <w:lvl w:ilvl="0" w:tplc="AE1606E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20748F"/>
    <w:multiLevelType w:val="multilevel"/>
    <w:tmpl w:val="D4429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3025E32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4F7C73"/>
    <w:multiLevelType w:val="hybridMultilevel"/>
    <w:tmpl w:val="F9609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A2FBD"/>
    <w:multiLevelType w:val="hybridMultilevel"/>
    <w:tmpl w:val="AFD4E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31A30"/>
    <w:multiLevelType w:val="hybridMultilevel"/>
    <w:tmpl w:val="94DC5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E7B55"/>
    <w:multiLevelType w:val="hybridMultilevel"/>
    <w:tmpl w:val="623C080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1BF1ED5"/>
    <w:multiLevelType w:val="hybridMultilevel"/>
    <w:tmpl w:val="6B680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668E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C5EAD"/>
    <w:multiLevelType w:val="multilevel"/>
    <w:tmpl w:val="96C80D0C"/>
    <w:lvl w:ilvl="0">
      <w:start w:val="1"/>
      <w:numFmt w:val="decimal"/>
      <w:pStyle w:val="Nadpis1"/>
      <w:lvlText w:val="4.%1"/>
      <w:lvlJc w:val="left"/>
      <w:pPr>
        <w:ind w:left="284" w:firstLine="0"/>
      </w:pPr>
      <w:rPr>
        <w:rFonts w:hint="default"/>
        <w:color w:val="auto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40B46BC"/>
    <w:multiLevelType w:val="hybridMultilevel"/>
    <w:tmpl w:val="FE78F0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666E7"/>
    <w:multiLevelType w:val="hybridMultilevel"/>
    <w:tmpl w:val="05D29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C17EF"/>
    <w:multiLevelType w:val="multilevel"/>
    <w:tmpl w:val="9E28DFE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5B1A54"/>
    <w:multiLevelType w:val="hybridMultilevel"/>
    <w:tmpl w:val="69C897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731F3"/>
    <w:multiLevelType w:val="hybridMultilevel"/>
    <w:tmpl w:val="EB2462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F5AC4"/>
    <w:multiLevelType w:val="hybridMultilevel"/>
    <w:tmpl w:val="6804C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71B2A"/>
    <w:multiLevelType w:val="hybridMultilevel"/>
    <w:tmpl w:val="9514ACF4"/>
    <w:lvl w:ilvl="0" w:tplc="AD1809D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3"/>
  </w:num>
  <w:num w:numId="5">
    <w:abstractNumId w:val="4"/>
  </w:num>
  <w:num w:numId="6">
    <w:abstractNumId w:val="18"/>
  </w:num>
  <w:num w:numId="7">
    <w:abstractNumId w:val="6"/>
  </w:num>
  <w:num w:numId="8">
    <w:abstractNumId w:val="17"/>
  </w:num>
  <w:num w:numId="9">
    <w:abstractNumId w:val="2"/>
  </w:num>
  <w:num w:numId="10">
    <w:abstractNumId w:val="15"/>
  </w:num>
  <w:num w:numId="11">
    <w:abstractNumId w:val="8"/>
  </w:num>
  <w:num w:numId="12">
    <w:abstractNumId w:val="13"/>
  </w:num>
  <w:num w:numId="13">
    <w:abstractNumId w:val="10"/>
  </w:num>
  <w:num w:numId="14">
    <w:abstractNumId w:val="9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DE"/>
    <w:rsid w:val="00001F6C"/>
    <w:rsid w:val="0001439C"/>
    <w:rsid w:val="0003093A"/>
    <w:rsid w:val="000518FB"/>
    <w:rsid w:val="000547C0"/>
    <w:rsid w:val="00062B8A"/>
    <w:rsid w:val="00080B0B"/>
    <w:rsid w:val="000A2249"/>
    <w:rsid w:val="000A32CC"/>
    <w:rsid w:val="000A739F"/>
    <w:rsid w:val="000B27F4"/>
    <w:rsid w:val="000B479B"/>
    <w:rsid w:val="000E2E13"/>
    <w:rsid w:val="000E72FB"/>
    <w:rsid w:val="000F50D8"/>
    <w:rsid w:val="00121ED8"/>
    <w:rsid w:val="0012307A"/>
    <w:rsid w:val="00123431"/>
    <w:rsid w:val="00127410"/>
    <w:rsid w:val="00143427"/>
    <w:rsid w:val="00150410"/>
    <w:rsid w:val="00186B55"/>
    <w:rsid w:val="00192020"/>
    <w:rsid w:val="001A5DD4"/>
    <w:rsid w:val="001D6EAF"/>
    <w:rsid w:val="001E0FD6"/>
    <w:rsid w:val="001E6880"/>
    <w:rsid w:val="002064AD"/>
    <w:rsid w:val="00224F92"/>
    <w:rsid w:val="002336A6"/>
    <w:rsid w:val="002353EF"/>
    <w:rsid w:val="002458D3"/>
    <w:rsid w:val="00254E02"/>
    <w:rsid w:val="002710F1"/>
    <w:rsid w:val="002A6D9F"/>
    <w:rsid w:val="002B70E3"/>
    <w:rsid w:val="002B7CD9"/>
    <w:rsid w:val="002C3E99"/>
    <w:rsid w:val="002C4CC9"/>
    <w:rsid w:val="002C501B"/>
    <w:rsid w:val="002D0DAA"/>
    <w:rsid w:val="002D416A"/>
    <w:rsid w:val="002E33C8"/>
    <w:rsid w:val="002E3713"/>
    <w:rsid w:val="00315473"/>
    <w:rsid w:val="00323FA1"/>
    <w:rsid w:val="0034626D"/>
    <w:rsid w:val="003509BB"/>
    <w:rsid w:val="00362084"/>
    <w:rsid w:val="003712B3"/>
    <w:rsid w:val="003A07B7"/>
    <w:rsid w:val="003A1D6B"/>
    <w:rsid w:val="003C00CA"/>
    <w:rsid w:val="003C541B"/>
    <w:rsid w:val="003D19A0"/>
    <w:rsid w:val="003D1C16"/>
    <w:rsid w:val="003D1F90"/>
    <w:rsid w:val="003D5DE1"/>
    <w:rsid w:val="003E3F29"/>
    <w:rsid w:val="003E447C"/>
    <w:rsid w:val="003E48A3"/>
    <w:rsid w:val="003E7DE1"/>
    <w:rsid w:val="003F1BBD"/>
    <w:rsid w:val="003F4E50"/>
    <w:rsid w:val="003F7E85"/>
    <w:rsid w:val="00406831"/>
    <w:rsid w:val="0040752E"/>
    <w:rsid w:val="00422BF3"/>
    <w:rsid w:val="004234CD"/>
    <w:rsid w:val="004249EC"/>
    <w:rsid w:val="004259D0"/>
    <w:rsid w:val="00430CFB"/>
    <w:rsid w:val="0043711E"/>
    <w:rsid w:val="00453668"/>
    <w:rsid w:val="004608BF"/>
    <w:rsid w:val="00461A28"/>
    <w:rsid w:val="00465E9C"/>
    <w:rsid w:val="00471E9D"/>
    <w:rsid w:val="0047643D"/>
    <w:rsid w:val="004824FA"/>
    <w:rsid w:val="00486E72"/>
    <w:rsid w:val="0049132E"/>
    <w:rsid w:val="00497C29"/>
    <w:rsid w:val="004E2507"/>
    <w:rsid w:val="004E5631"/>
    <w:rsid w:val="004F7655"/>
    <w:rsid w:val="0050041B"/>
    <w:rsid w:val="00501045"/>
    <w:rsid w:val="005642DA"/>
    <w:rsid w:val="00573D5F"/>
    <w:rsid w:val="0057410C"/>
    <w:rsid w:val="00576677"/>
    <w:rsid w:val="00581E65"/>
    <w:rsid w:val="005909DD"/>
    <w:rsid w:val="005909FA"/>
    <w:rsid w:val="00592AB8"/>
    <w:rsid w:val="005A4022"/>
    <w:rsid w:val="005A6BF1"/>
    <w:rsid w:val="005C2749"/>
    <w:rsid w:val="005D481A"/>
    <w:rsid w:val="005E1089"/>
    <w:rsid w:val="00607A05"/>
    <w:rsid w:val="00607C06"/>
    <w:rsid w:val="00610F97"/>
    <w:rsid w:val="006248AD"/>
    <w:rsid w:val="0062730B"/>
    <w:rsid w:val="0063318C"/>
    <w:rsid w:val="006447E5"/>
    <w:rsid w:val="00652F46"/>
    <w:rsid w:val="006640EE"/>
    <w:rsid w:val="006669EB"/>
    <w:rsid w:val="00667116"/>
    <w:rsid w:val="006717AF"/>
    <w:rsid w:val="006735E8"/>
    <w:rsid w:val="00687A1B"/>
    <w:rsid w:val="00691CDE"/>
    <w:rsid w:val="006C328F"/>
    <w:rsid w:val="006D1D87"/>
    <w:rsid w:val="006D7D53"/>
    <w:rsid w:val="007021D8"/>
    <w:rsid w:val="00703166"/>
    <w:rsid w:val="00705958"/>
    <w:rsid w:val="00707BBC"/>
    <w:rsid w:val="007232F9"/>
    <w:rsid w:val="00724603"/>
    <w:rsid w:val="007429B4"/>
    <w:rsid w:val="00753EE6"/>
    <w:rsid w:val="00756DA8"/>
    <w:rsid w:val="00762936"/>
    <w:rsid w:val="00773326"/>
    <w:rsid w:val="00774B4E"/>
    <w:rsid w:val="00775AE0"/>
    <w:rsid w:val="00785513"/>
    <w:rsid w:val="0079730E"/>
    <w:rsid w:val="007A285B"/>
    <w:rsid w:val="007B2337"/>
    <w:rsid w:val="007B692B"/>
    <w:rsid w:val="007E2A2F"/>
    <w:rsid w:val="007F6780"/>
    <w:rsid w:val="00811A5C"/>
    <w:rsid w:val="00831804"/>
    <w:rsid w:val="0083206C"/>
    <w:rsid w:val="0086581A"/>
    <w:rsid w:val="008808A3"/>
    <w:rsid w:val="008C4814"/>
    <w:rsid w:val="008E787A"/>
    <w:rsid w:val="008F0944"/>
    <w:rsid w:val="008F1B7F"/>
    <w:rsid w:val="008F3478"/>
    <w:rsid w:val="00912589"/>
    <w:rsid w:val="00953F25"/>
    <w:rsid w:val="00963084"/>
    <w:rsid w:val="00963E01"/>
    <w:rsid w:val="00980824"/>
    <w:rsid w:val="009859C4"/>
    <w:rsid w:val="009A1787"/>
    <w:rsid w:val="009B32CF"/>
    <w:rsid w:val="009B3EF0"/>
    <w:rsid w:val="009D1733"/>
    <w:rsid w:val="009D7B74"/>
    <w:rsid w:val="009E094F"/>
    <w:rsid w:val="009E45CE"/>
    <w:rsid w:val="009E6383"/>
    <w:rsid w:val="00A10423"/>
    <w:rsid w:val="00A325E7"/>
    <w:rsid w:val="00A350B4"/>
    <w:rsid w:val="00A35844"/>
    <w:rsid w:val="00A453A3"/>
    <w:rsid w:val="00A46B50"/>
    <w:rsid w:val="00A637B1"/>
    <w:rsid w:val="00A74CB9"/>
    <w:rsid w:val="00A824B5"/>
    <w:rsid w:val="00A86B8E"/>
    <w:rsid w:val="00AA29EC"/>
    <w:rsid w:val="00AB2948"/>
    <w:rsid w:val="00AB2A61"/>
    <w:rsid w:val="00AB5E9E"/>
    <w:rsid w:val="00AC6D12"/>
    <w:rsid w:val="00AE41EE"/>
    <w:rsid w:val="00AE424D"/>
    <w:rsid w:val="00B04B31"/>
    <w:rsid w:val="00B21762"/>
    <w:rsid w:val="00B33826"/>
    <w:rsid w:val="00B600EE"/>
    <w:rsid w:val="00B74D96"/>
    <w:rsid w:val="00B909A6"/>
    <w:rsid w:val="00B93FB8"/>
    <w:rsid w:val="00BA1D31"/>
    <w:rsid w:val="00BB7782"/>
    <w:rsid w:val="00BD4AEE"/>
    <w:rsid w:val="00BE09F9"/>
    <w:rsid w:val="00BE5667"/>
    <w:rsid w:val="00BE6EBC"/>
    <w:rsid w:val="00C07E89"/>
    <w:rsid w:val="00C2496D"/>
    <w:rsid w:val="00C25843"/>
    <w:rsid w:val="00C26B5B"/>
    <w:rsid w:val="00C277EC"/>
    <w:rsid w:val="00C47A44"/>
    <w:rsid w:val="00C51BDE"/>
    <w:rsid w:val="00C610B4"/>
    <w:rsid w:val="00C74A0B"/>
    <w:rsid w:val="00C77314"/>
    <w:rsid w:val="00C93A00"/>
    <w:rsid w:val="00CA0FE8"/>
    <w:rsid w:val="00CB40EF"/>
    <w:rsid w:val="00CB75B0"/>
    <w:rsid w:val="00CC4799"/>
    <w:rsid w:val="00CC534A"/>
    <w:rsid w:val="00CE3E66"/>
    <w:rsid w:val="00CE6C24"/>
    <w:rsid w:val="00CF5AAF"/>
    <w:rsid w:val="00D00639"/>
    <w:rsid w:val="00D01B91"/>
    <w:rsid w:val="00D116B7"/>
    <w:rsid w:val="00D17134"/>
    <w:rsid w:val="00D547B2"/>
    <w:rsid w:val="00D63A9E"/>
    <w:rsid w:val="00D668C3"/>
    <w:rsid w:val="00D80112"/>
    <w:rsid w:val="00D84B19"/>
    <w:rsid w:val="00D91055"/>
    <w:rsid w:val="00DA4103"/>
    <w:rsid w:val="00DB52DB"/>
    <w:rsid w:val="00DC5BEB"/>
    <w:rsid w:val="00DF55F1"/>
    <w:rsid w:val="00DF70A0"/>
    <w:rsid w:val="00E0010F"/>
    <w:rsid w:val="00E01E44"/>
    <w:rsid w:val="00E0584B"/>
    <w:rsid w:val="00E064D5"/>
    <w:rsid w:val="00E108A4"/>
    <w:rsid w:val="00E23986"/>
    <w:rsid w:val="00E316E6"/>
    <w:rsid w:val="00E36FC8"/>
    <w:rsid w:val="00E607A1"/>
    <w:rsid w:val="00E64ACA"/>
    <w:rsid w:val="00E77EF8"/>
    <w:rsid w:val="00E969D0"/>
    <w:rsid w:val="00EC0576"/>
    <w:rsid w:val="00EC5038"/>
    <w:rsid w:val="00EF0725"/>
    <w:rsid w:val="00EF5EAC"/>
    <w:rsid w:val="00EF706F"/>
    <w:rsid w:val="00F040D2"/>
    <w:rsid w:val="00F1198C"/>
    <w:rsid w:val="00F141F1"/>
    <w:rsid w:val="00F16B86"/>
    <w:rsid w:val="00F265A7"/>
    <w:rsid w:val="00F40FA9"/>
    <w:rsid w:val="00F56D53"/>
    <w:rsid w:val="00F63329"/>
    <w:rsid w:val="00F70ADC"/>
    <w:rsid w:val="00F71BE9"/>
    <w:rsid w:val="00F770C1"/>
    <w:rsid w:val="00F827A3"/>
    <w:rsid w:val="00F83902"/>
    <w:rsid w:val="00F9233C"/>
    <w:rsid w:val="00FA260E"/>
    <w:rsid w:val="00FB0189"/>
    <w:rsid w:val="00FB23E6"/>
    <w:rsid w:val="00FC5989"/>
    <w:rsid w:val="00FD4CB0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7958E-463A-4AC0-BC65-D96FE528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1BDE"/>
    <w:pPr>
      <w:keepNext/>
      <w:numPr>
        <w:numId w:val="2"/>
      </w:numPr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C51BDE"/>
    <w:pPr>
      <w:keepNext/>
      <w:numPr>
        <w:ilvl w:val="1"/>
        <w:numId w:val="2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qFormat/>
    <w:rsid w:val="00C51BDE"/>
    <w:pPr>
      <w:keepNext/>
      <w:numPr>
        <w:ilvl w:val="2"/>
        <w:numId w:val="2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C51BDE"/>
    <w:pPr>
      <w:keepNext/>
      <w:numPr>
        <w:ilvl w:val="3"/>
        <w:numId w:val="2"/>
      </w:numPr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C51BDE"/>
    <w:pPr>
      <w:keepNext/>
      <w:numPr>
        <w:ilvl w:val="4"/>
        <w:numId w:val="2"/>
      </w:numPr>
      <w:outlineLvl w:val="4"/>
    </w:pPr>
    <w:rPr>
      <w:b/>
      <w:bCs/>
      <w:i/>
      <w:iCs/>
      <w:sz w:val="28"/>
    </w:rPr>
  </w:style>
  <w:style w:type="paragraph" w:styleId="Nadpis6">
    <w:name w:val="heading 6"/>
    <w:basedOn w:val="Normln"/>
    <w:next w:val="Normln"/>
    <w:link w:val="Nadpis6Char"/>
    <w:qFormat/>
    <w:rsid w:val="00C51BDE"/>
    <w:pPr>
      <w:keepNext/>
      <w:numPr>
        <w:ilvl w:val="5"/>
        <w:numId w:val="2"/>
      </w:numPr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3326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3326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51BDE"/>
    <w:pPr>
      <w:keepNext/>
      <w:numPr>
        <w:ilvl w:val="8"/>
        <w:numId w:val="2"/>
      </w:numPr>
      <w:overflowPunct w:val="0"/>
      <w:autoSpaceDE w:val="0"/>
      <w:autoSpaceDN w:val="0"/>
      <w:adjustRightInd w:val="0"/>
      <w:jc w:val="center"/>
      <w:outlineLvl w:val="8"/>
    </w:pPr>
    <w:rPr>
      <w:b/>
      <w:bCs/>
      <w:szCs w:val="20"/>
      <w:u w:val="single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rsid w:val="0079730E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C51BD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51BDE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51B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51BDE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C51BDE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C51BD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51BDE"/>
    <w:rPr>
      <w:rFonts w:ascii="Times New Roman" w:eastAsia="Times New Roman" w:hAnsi="Times New Roman" w:cs="Times New Roman"/>
      <w:b/>
      <w:bCs/>
      <w:sz w:val="24"/>
      <w:szCs w:val="20"/>
      <w:u w:val="single"/>
      <w:lang w:val="fr-FR" w:eastAsia="cs-CZ"/>
    </w:rPr>
  </w:style>
  <w:style w:type="paragraph" w:styleId="Nzev">
    <w:name w:val="Title"/>
    <w:basedOn w:val="Normln"/>
    <w:link w:val="NzevChar"/>
    <w:qFormat/>
    <w:rsid w:val="00C51BDE"/>
    <w:pPr>
      <w:shd w:val="clear" w:color="auto" w:fill="FFFFFF"/>
      <w:spacing w:before="672"/>
      <w:ind w:right="40"/>
      <w:jc w:val="center"/>
    </w:pPr>
    <w:rPr>
      <w:color w:val="000000"/>
      <w:spacing w:val="-5"/>
      <w:w w:val="131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51BDE"/>
    <w:rPr>
      <w:rFonts w:ascii="Times New Roman" w:eastAsia="Times New Roman" w:hAnsi="Times New Roman" w:cs="Times New Roman"/>
      <w:color w:val="000000"/>
      <w:spacing w:val="-5"/>
      <w:w w:val="131"/>
      <w:sz w:val="32"/>
      <w:szCs w:val="32"/>
      <w:shd w:val="clear" w:color="auto" w:fill="FFFFFF"/>
      <w:lang w:eastAsia="cs-CZ"/>
    </w:rPr>
  </w:style>
  <w:style w:type="paragraph" w:styleId="Zkladntext">
    <w:name w:val="Body Text"/>
    <w:basedOn w:val="Normln"/>
    <w:link w:val="ZkladntextChar"/>
    <w:semiHidden/>
    <w:rsid w:val="00C51BDE"/>
    <w:pPr>
      <w:shd w:val="clear" w:color="auto" w:fill="FFFFFF"/>
      <w:spacing w:before="278" w:line="288" w:lineRule="exact"/>
      <w:ind w:right="29"/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C51BD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cs-CZ"/>
    </w:rPr>
  </w:style>
  <w:style w:type="paragraph" w:styleId="Zkladntext3">
    <w:name w:val="Body Text 3"/>
    <w:basedOn w:val="Normln"/>
    <w:link w:val="Zkladntext3Char"/>
    <w:semiHidden/>
    <w:rsid w:val="00C51BDE"/>
    <w:pPr>
      <w:shd w:val="clear" w:color="auto" w:fill="FFFFFF"/>
      <w:tabs>
        <w:tab w:val="left" w:pos="355"/>
      </w:tabs>
      <w:spacing w:before="100" w:beforeAutospacing="1" w:line="288" w:lineRule="exact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C51BD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cs-CZ"/>
    </w:rPr>
  </w:style>
  <w:style w:type="paragraph" w:styleId="Zkladntext2">
    <w:name w:val="Body Text 2"/>
    <w:basedOn w:val="Normln"/>
    <w:link w:val="Zkladntext2Char"/>
    <w:semiHidden/>
    <w:rsid w:val="00C51BDE"/>
    <w:pPr>
      <w:shd w:val="clear" w:color="auto" w:fill="FFFFFF"/>
      <w:tabs>
        <w:tab w:val="left" w:pos="355"/>
      </w:tabs>
      <w:spacing w:before="307" w:line="278" w:lineRule="exact"/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C51BDE"/>
    <w:rPr>
      <w:rFonts w:ascii="Times New Roman" w:eastAsia="Times New Roman" w:hAnsi="Times New Roman" w:cs="Times New Roman"/>
      <w:sz w:val="24"/>
      <w:szCs w:val="24"/>
      <w:shd w:val="clear" w:color="auto" w:fill="FFFFFF"/>
      <w:lang w:eastAsia="cs-CZ"/>
    </w:rPr>
  </w:style>
  <w:style w:type="paragraph" w:styleId="Zpat">
    <w:name w:val="footer"/>
    <w:basedOn w:val="Normln"/>
    <w:link w:val="ZpatChar"/>
    <w:uiPriority w:val="99"/>
    <w:rsid w:val="00C51B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1B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C51BDE"/>
  </w:style>
  <w:style w:type="paragraph" w:styleId="Zkladntextodsazen">
    <w:name w:val="Body Text Indent"/>
    <w:basedOn w:val="Normln"/>
    <w:link w:val="ZkladntextodsazenChar"/>
    <w:semiHidden/>
    <w:rsid w:val="00C51BDE"/>
    <w:pPr>
      <w:ind w:left="720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51BD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51BDE"/>
    <w:pPr>
      <w:ind w:left="72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51B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1BDE"/>
    <w:pPr>
      <w:ind w:left="708"/>
    </w:pPr>
  </w:style>
  <w:style w:type="paragraph" w:styleId="Normlnweb">
    <w:name w:val="Normal (Web)"/>
    <w:basedOn w:val="Normln"/>
    <w:rsid w:val="00486E72"/>
    <w:pPr>
      <w:spacing w:before="75" w:after="90"/>
      <w:ind w:left="30"/>
    </w:pPr>
    <w:rPr>
      <w:color w:val="444444"/>
    </w:rPr>
  </w:style>
  <w:style w:type="character" w:styleId="Siln">
    <w:name w:val="Strong"/>
    <w:qFormat/>
    <w:rsid w:val="00486E72"/>
    <w:rPr>
      <w:b/>
      <w:bCs/>
    </w:rPr>
  </w:style>
  <w:style w:type="character" w:styleId="Zdraznn">
    <w:name w:val="Emphasis"/>
    <w:qFormat/>
    <w:rsid w:val="00486E72"/>
    <w:rPr>
      <w:i/>
      <w:iCs/>
    </w:rPr>
  </w:style>
  <w:style w:type="character" w:styleId="Hypertextovodkaz">
    <w:name w:val="Hyperlink"/>
    <w:rsid w:val="00486E7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6B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BF1"/>
    <w:rPr>
      <w:rFonts w:ascii="Tahoma" w:eastAsia="Times New Roman" w:hAnsi="Tahoma" w:cs="Tahoma"/>
      <w:sz w:val="16"/>
      <w:szCs w:val="16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186B55"/>
  </w:style>
  <w:style w:type="paragraph" w:styleId="Zhlav">
    <w:name w:val="header"/>
    <w:basedOn w:val="Normln"/>
    <w:link w:val="ZhlavChar"/>
    <w:unhideWhenUsed/>
    <w:rsid w:val="00186B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86B5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332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33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D84B1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0751-BD65-4502-BEEF-262444E0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1715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Horká Blanka (ÚMČ Praha 21)</dc:creator>
  <cp:lastModifiedBy>Voříšková Jitka</cp:lastModifiedBy>
  <cp:revision>7</cp:revision>
  <cp:lastPrinted>2018-05-24T07:35:00Z</cp:lastPrinted>
  <dcterms:created xsi:type="dcterms:W3CDTF">2018-05-23T12:04:00Z</dcterms:created>
  <dcterms:modified xsi:type="dcterms:W3CDTF">2018-05-24T07:38:00Z</dcterms:modified>
</cp:coreProperties>
</file>